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34" w:rsidRDefault="00165A34">
      <w:pPr>
        <w:widowControl/>
        <w:jc w:val="center"/>
        <w:rPr>
          <w:rFonts w:ascii="微软雅黑" w:eastAsia="微软雅黑" w:hAnsi="微软雅黑" w:cs="微软雅黑"/>
          <w:b/>
          <w:bCs/>
          <w:color w:val="000000"/>
          <w:kern w:val="0"/>
          <w:sz w:val="72"/>
          <w:szCs w:val="72"/>
        </w:rPr>
      </w:pPr>
    </w:p>
    <w:p w:rsidR="00165A34" w:rsidRDefault="006A5CAF">
      <w:pPr>
        <w:widowControl/>
        <w:ind w:firstLineChars="100" w:firstLine="720"/>
        <w:jc w:val="center"/>
        <w:rPr>
          <w:rFonts w:ascii="微软雅黑" w:eastAsia="微软雅黑" w:hAnsi="微软雅黑" w:cs="微软雅黑"/>
          <w:b/>
          <w:bCs/>
          <w:color w:val="000000"/>
          <w:kern w:val="0"/>
          <w:sz w:val="72"/>
          <w:szCs w:val="72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72"/>
          <w:szCs w:val="72"/>
        </w:rPr>
        <w:t>东风途逸双排</w:t>
      </w:r>
    </w:p>
    <w:p w:rsidR="00165A34" w:rsidRDefault="006A5CAF">
      <w:pPr>
        <w:widowControl/>
        <w:ind w:firstLineChars="100" w:firstLine="720"/>
        <w:jc w:val="center"/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72"/>
          <w:szCs w:val="72"/>
        </w:rPr>
        <w:t>应 急 救 险 车</w:t>
      </w:r>
    </w:p>
    <w:p w:rsidR="00165A34" w:rsidRDefault="00165A34">
      <w:pPr>
        <w:widowControl/>
        <w:jc w:val="center"/>
        <w:rPr>
          <w:rFonts w:ascii="微软雅黑" w:eastAsia="微软雅黑" w:hAnsi="微软雅黑" w:cs="微软雅黑"/>
          <w:color w:val="000000"/>
          <w:kern w:val="0"/>
          <w:sz w:val="30"/>
          <w:szCs w:val="30"/>
        </w:rPr>
      </w:pPr>
    </w:p>
    <w:p w:rsidR="00165A34" w:rsidRDefault="006A5CAF">
      <w:pPr>
        <w:widowControl/>
        <w:jc w:val="center"/>
        <w:rPr>
          <w:sz w:val="48"/>
          <w:szCs w:val="48"/>
        </w:rPr>
      </w:pPr>
      <w:r>
        <w:rPr>
          <w:rFonts w:ascii="微软雅黑" w:eastAsia="微软雅黑" w:hAnsi="微软雅黑" w:cs="微软雅黑" w:hint="eastAsia"/>
          <w:color w:val="000000"/>
          <w:kern w:val="0"/>
          <w:sz w:val="48"/>
          <w:szCs w:val="48"/>
        </w:rPr>
        <w:t>（东风途逸双排国六底盘）</w:t>
      </w:r>
    </w:p>
    <w:p w:rsidR="00165A34" w:rsidRDefault="006A5CAF">
      <w:pPr>
        <w:widowControl/>
        <w:jc w:val="center"/>
        <w:rPr>
          <w:sz w:val="44"/>
          <w:szCs w:val="44"/>
        </w:rPr>
      </w:pPr>
      <w:r>
        <w:rPr>
          <w:rFonts w:ascii="Tahoma" w:eastAsia="Tahoma" w:hAnsi="Tahoma" w:cs="Tahoma"/>
          <w:color w:val="000000"/>
          <w:kern w:val="0"/>
          <w:sz w:val="44"/>
          <w:szCs w:val="44"/>
        </w:rPr>
        <w:t>(</w:t>
      </w:r>
      <w:r>
        <w:rPr>
          <w:rFonts w:ascii="微软雅黑" w:eastAsia="微软雅黑" w:hAnsi="微软雅黑" w:cs="微软雅黑" w:hint="eastAsia"/>
          <w:color w:val="000000"/>
          <w:kern w:val="0"/>
          <w:sz w:val="44"/>
          <w:szCs w:val="44"/>
        </w:rPr>
        <w:t xml:space="preserve">虹宇牌 </w:t>
      </w:r>
      <w:r>
        <w:rPr>
          <w:rFonts w:ascii="Tahoma" w:eastAsia="Tahoma" w:hAnsi="Tahoma" w:cs="Tahoma" w:hint="eastAsia"/>
          <w:color w:val="000000"/>
          <w:kern w:val="0"/>
          <w:sz w:val="44"/>
          <w:szCs w:val="44"/>
        </w:rPr>
        <w:t>HYS5041XXHE6</w:t>
      </w:r>
      <w:r>
        <w:rPr>
          <w:rFonts w:ascii="微软雅黑" w:eastAsia="微软雅黑" w:hAnsi="微软雅黑" w:cs="微软雅黑" w:hint="eastAsia"/>
          <w:color w:val="000000"/>
          <w:kern w:val="0"/>
          <w:sz w:val="44"/>
          <w:szCs w:val="44"/>
        </w:rPr>
        <w:t>应急救险车）</w:t>
      </w:r>
    </w:p>
    <w:p w:rsidR="00165A34" w:rsidRDefault="00165A34">
      <w:pPr>
        <w:widowControl/>
        <w:jc w:val="center"/>
        <w:rPr>
          <w:rFonts w:ascii="微软雅黑" w:eastAsia="微软雅黑" w:hAnsi="微软雅黑" w:cs="微软雅黑"/>
          <w:b/>
          <w:bCs/>
          <w:color w:val="000000"/>
          <w:kern w:val="0"/>
          <w:sz w:val="52"/>
          <w:szCs w:val="52"/>
        </w:rPr>
      </w:pPr>
    </w:p>
    <w:p w:rsidR="00165A34" w:rsidRDefault="006A5CAF">
      <w:pPr>
        <w:widowControl/>
        <w:jc w:val="center"/>
        <w:rPr>
          <w:rFonts w:ascii="微软雅黑" w:eastAsia="微软雅黑" w:hAnsi="微软雅黑" w:cs="微软雅黑"/>
          <w:b/>
          <w:bCs/>
          <w:color w:val="000000"/>
          <w:kern w:val="0"/>
          <w:sz w:val="84"/>
          <w:szCs w:val="8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84"/>
          <w:szCs w:val="84"/>
        </w:rPr>
        <w:t>产</w:t>
      </w:r>
    </w:p>
    <w:p w:rsidR="00165A34" w:rsidRDefault="006A5CAF">
      <w:pPr>
        <w:widowControl/>
        <w:jc w:val="center"/>
        <w:rPr>
          <w:rFonts w:ascii="微软雅黑" w:eastAsia="微软雅黑" w:hAnsi="微软雅黑" w:cs="微软雅黑"/>
          <w:b/>
          <w:bCs/>
          <w:color w:val="000000"/>
          <w:kern w:val="0"/>
          <w:sz w:val="84"/>
          <w:szCs w:val="8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84"/>
          <w:szCs w:val="84"/>
        </w:rPr>
        <w:t>品</w:t>
      </w:r>
    </w:p>
    <w:p w:rsidR="00165A34" w:rsidRDefault="006A5CAF">
      <w:pPr>
        <w:widowControl/>
        <w:jc w:val="center"/>
        <w:rPr>
          <w:sz w:val="84"/>
          <w:szCs w:val="84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84"/>
          <w:szCs w:val="84"/>
        </w:rPr>
        <w:t>简</w:t>
      </w:r>
    </w:p>
    <w:p w:rsidR="00165A34" w:rsidRDefault="006A5CAF">
      <w:pPr>
        <w:widowControl/>
        <w:jc w:val="center"/>
        <w:rPr>
          <w:rFonts w:ascii="微软雅黑" w:eastAsia="微软雅黑" w:hAnsi="微软雅黑" w:cs="微软雅黑"/>
          <w:b/>
          <w:bCs/>
          <w:color w:val="000000"/>
          <w:kern w:val="0"/>
          <w:sz w:val="84"/>
          <w:szCs w:val="84"/>
        </w:rPr>
        <w:sectPr w:rsidR="00165A34">
          <w:head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84"/>
          <w:szCs w:val="84"/>
        </w:rPr>
        <w:t>介</w:t>
      </w:r>
    </w:p>
    <w:p w:rsidR="00165A34" w:rsidRDefault="006A5CAF">
      <w:pPr>
        <w:widowControl/>
        <w:ind w:left="420"/>
        <w:jc w:val="left"/>
        <w:rPr>
          <w:rFonts w:ascii="微软雅黑" w:eastAsia="微软雅黑" w:hAnsi="微软雅黑" w:cs="微软雅黑"/>
          <w:b/>
          <w:bCs/>
          <w:color w:val="000000"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32"/>
          <w:szCs w:val="32"/>
        </w:rPr>
        <w:lastRenderedPageBreak/>
        <w:t>一、整车图片</w:t>
      </w:r>
    </w:p>
    <w:p w:rsidR="00165A34" w:rsidRDefault="006A5CAF">
      <w:pPr>
        <w:widowControl/>
        <w:jc w:val="left"/>
        <w:rPr>
          <w:rFonts w:ascii="微软雅黑" w:eastAsia="微软雅黑" w:hAnsi="微软雅黑" w:cs="微软雅黑"/>
          <w:b/>
          <w:bCs/>
          <w:color w:val="000000"/>
          <w:kern w:val="0"/>
          <w:sz w:val="30"/>
          <w:szCs w:val="30"/>
        </w:rPr>
        <w:sectPr w:rsidR="00165A34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ascii="微软雅黑" w:eastAsia="微软雅黑" w:hAnsi="微软雅黑" w:cs="微软雅黑" w:hint="eastAsia"/>
          <w:b/>
          <w:bCs/>
          <w:noProof/>
          <w:color w:val="000000"/>
          <w:kern w:val="0"/>
          <w:sz w:val="30"/>
          <w:szCs w:val="30"/>
        </w:rPr>
        <w:drawing>
          <wp:inline distT="0" distB="0" distL="114300" distR="114300">
            <wp:extent cx="5264785" cy="3948430"/>
            <wp:effectExtent l="0" t="0" r="12065" b="13970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4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b/>
          <w:bCs/>
          <w:noProof/>
          <w:color w:val="000000"/>
          <w:kern w:val="0"/>
          <w:sz w:val="30"/>
          <w:szCs w:val="30"/>
        </w:rPr>
        <w:drawing>
          <wp:inline distT="0" distB="0" distL="114300" distR="114300">
            <wp:extent cx="5270500" cy="3954780"/>
            <wp:effectExtent l="0" t="0" r="6350" b="7620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b/>
          <w:bCs/>
          <w:noProof/>
          <w:color w:val="000000"/>
          <w:kern w:val="0"/>
          <w:sz w:val="30"/>
          <w:szCs w:val="30"/>
        </w:rPr>
        <w:lastRenderedPageBreak/>
        <w:drawing>
          <wp:inline distT="0" distB="0" distL="114300" distR="114300">
            <wp:extent cx="5266055" cy="3949700"/>
            <wp:effectExtent l="0" t="0" r="10795" b="1270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cs="微软雅黑" w:hint="eastAsia"/>
          <w:b/>
          <w:bCs/>
          <w:noProof/>
          <w:color w:val="000000"/>
          <w:kern w:val="0"/>
          <w:sz w:val="30"/>
          <w:szCs w:val="30"/>
        </w:rPr>
        <w:drawing>
          <wp:inline distT="0" distB="0" distL="114300" distR="114300">
            <wp:extent cx="5269865" cy="3952875"/>
            <wp:effectExtent l="0" t="0" r="6985" b="9525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A34" w:rsidRDefault="006A5CAF">
      <w:pPr>
        <w:widowControl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w:lastRenderedPageBreak/>
        <w:drawing>
          <wp:inline distT="0" distB="0" distL="114300" distR="114300">
            <wp:extent cx="5366385" cy="4023360"/>
            <wp:effectExtent l="0" t="0" r="5715" b="15240"/>
            <wp:docPr id="7" name="图片 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66385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A34" w:rsidRDefault="00165A34">
      <w:pPr>
        <w:widowControl/>
        <w:jc w:val="left"/>
        <w:rPr>
          <w:b/>
          <w:bCs/>
          <w:sz w:val="36"/>
          <w:szCs w:val="36"/>
        </w:rPr>
      </w:pPr>
    </w:p>
    <w:p w:rsidR="00165A34" w:rsidRDefault="006A5CAF">
      <w:pPr>
        <w:widowControl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noProof/>
          <w:sz w:val="36"/>
          <w:szCs w:val="36"/>
        </w:rPr>
        <w:drawing>
          <wp:inline distT="0" distB="0" distL="114300" distR="114300">
            <wp:extent cx="5366385" cy="4025265"/>
            <wp:effectExtent l="0" t="0" r="5715" b="13335"/>
            <wp:docPr id="8" name="图片 8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66385" cy="402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A34" w:rsidRDefault="006A5CAF">
      <w:pPr>
        <w:widowControl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二、底盘配置</w:t>
      </w:r>
    </w:p>
    <w:p w:rsidR="00165A34" w:rsidRDefault="006A5CAF">
      <w:pPr>
        <w:widowControl/>
        <w:ind w:firstLineChars="200" w:firstLine="640"/>
        <w:jc w:val="left"/>
        <w:rPr>
          <w:b/>
          <w:bCs/>
          <w:sz w:val="32"/>
          <w:szCs w:val="32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主要配置：</w:t>
      </w:r>
      <w:r w:rsidR="0021265C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东风途逸双排驾驶室，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3000mm</w:t>
      </w:r>
      <w:r w:rsidR="003E3058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轴距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，全柴Q23-95E60（95马力），5档变速箱，6.00R15钢丝胎【后双轮】，前后桥1.5/3。油刹,标配动力转向，前盘制动，中控门锁，电动门窗，定速巡航，蓝牙电话，LED日间行车灯，ABS，空调，预留取力器窗口。</w:t>
      </w:r>
    </w:p>
    <w:p w:rsidR="00165A34" w:rsidRDefault="00165A34">
      <w:pPr>
        <w:widowControl/>
        <w:jc w:val="left"/>
        <w:rPr>
          <w:b/>
          <w:bCs/>
          <w:sz w:val="32"/>
          <w:szCs w:val="32"/>
        </w:rPr>
      </w:pPr>
    </w:p>
    <w:p w:rsidR="00165A34" w:rsidRDefault="006A5CAF">
      <w:pPr>
        <w:widowControl/>
        <w:numPr>
          <w:ilvl w:val="0"/>
          <w:numId w:val="1"/>
        </w:num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产品详情</w:t>
      </w:r>
    </w:p>
    <w:p w:rsidR="00165A34" w:rsidRDefault="006A5CAF">
      <w:pPr>
        <w:spacing w:line="4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该车采用全开放式车厢结构，货架采用模块式框架结构，充分利用各处空间。</w:t>
      </w:r>
    </w:p>
    <w:p w:rsidR="00165A34" w:rsidRDefault="006A5CAF">
      <w:pPr>
        <w:spacing w:line="4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工器具分区存放，综合考虑各类工器具的外形、重量、功能等特征，外形与重量大的工器具放置于低位，功能相近的工器具集中放置。</w:t>
      </w:r>
    </w:p>
    <w:p w:rsidR="00165A34" w:rsidRDefault="006A5CAF">
      <w:pPr>
        <w:spacing w:line="4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车厢内设置多种存放机构，以便于存取操作，如采用滑轨托盘以便于取放内侧物品、采用动力升降台以便于存取重型工器具。</w:t>
      </w:r>
    </w:p>
    <w:p w:rsidR="00165A34" w:rsidRDefault="006A5CAF">
      <w:pPr>
        <w:spacing w:line="4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工器具设多种防护装置，如挡块、孔座、绑带、胶垫等，以防滑、防跳、防撞、减震等。工器具存放位置均设醒目标识，便于各种工器具使用后即时归位。车厢内外设置多种照明装置，以便于工器具存取与施工现场照明。</w:t>
      </w:r>
    </w:p>
    <w:p w:rsidR="00165A34" w:rsidRDefault="006A5CAF">
      <w:pPr>
        <w:spacing w:line="4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车辆配带10KW～100KW的发电机组，为本车工器具或外部需要提供电力外供接口。</w:t>
      </w:r>
    </w:p>
    <w:p w:rsidR="00165A34" w:rsidRDefault="006A5CAF">
      <w:pPr>
        <w:spacing w:line="420" w:lineRule="exact"/>
        <w:ind w:firstLineChars="200" w:firstLine="640"/>
        <w:rPr>
          <w:rFonts w:asciiTheme="minorEastAsia" w:hAnsiTheme="minorEastAsia" w:cstheme="minorEastAsia"/>
          <w:color w:val="000000"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sz w:val="32"/>
          <w:szCs w:val="32"/>
        </w:rPr>
        <w:t>舱内设置发电机组，焊机.切割机.空气压缩机等应急抢修设施，适应于全天候的野外露天作业，具有整体性能稳定可靠、一体操作轻便实用、用途广泛性价比高等特点。能很好的满足户外作业和城市防汛、农业抗旱、市政工程和应急排水的需要。</w:t>
      </w:r>
    </w:p>
    <w:p w:rsidR="00165A34" w:rsidRDefault="006A5CAF" w:rsidP="003E3058">
      <w:pPr>
        <w:ind w:firstLineChars="100" w:firstLine="320"/>
        <w:jc w:val="left"/>
        <w:rPr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color w:val="000000"/>
          <w:sz w:val="32"/>
          <w:szCs w:val="32"/>
        </w:rPr>
        <w:t>发电机组选用国内外知名品牌：</w:t>
      </w:r>
      <w:r w:rsidR="003E3058">
        <w:rPr>
          <w:rFonts w:asciiTheme="minorEastAsia" w:hAnsiTheme="minorEastAsia" w:cstheme="minorEastAsia" w:hint="eastAsia"/>
          <w:color w:val="000000"/>
          <w:sz w:val="32"/>
          <w:szCs w:val="32"/>
        </w:rPr>
        <w:t>康明斯，潍柴、玉柴等。</w:t>
      </w:r>
      <w:r>
        <w:rPr>
          <w:rFonts w:asciiTheme="minorEastAsia" w:hAnsiTheme="minorEastAsia" w:cstheme="minorEastAsia" w:hint="eastAsia"/>
          <w:color w:val="000000"/>
          <w:sz w:val="32"/>
          <w:szCs w:val="32"/>
        </w:rPr>
        <w:t>功率：≥</w:t>
      </w:r>
      <w:r w:rsidR="003E3058">
        <w:rPr>
          <w:rFonts w:asciiTheme="minorEastAsia" w:hAnsiTheme="minorEastAsia" w:cstheme="minorEastAsia" w:hint="eastAsia"/>
          <w:color w:val="000000"/>
          <w:sz w:val="32"/>
          <w:szCs w:val="32"/>
        </w:rPr>
        <w:t>75</w:t>
      </w:r>
      <w:r>
        <w:rPr>
          <w:rFonts w:asciiTheme="minorEastAsia" w:hAnsiTheme="minorEastAsia" w:cstheme="minorEastAsia" w:hint="eastAsia"/>
          <w:color w:val="000000"/>
          <w:sz w:val="32"/>
          <w:szCs w:val="32"/>
        </w:rPr>
        <w:t>KW</w:t>
      </w:r>
      <w:r w:rsidR="003E3058">
        <w:rPr>
          <w:b/>
          <w:bCs/>
          <w:sz w:val="32"/>
          <w:szCs w:val="32"/>
        </w:rPr>
        <w:t xml:space="preserve"> </w:t>
      </w:r>
    </w:p>
    <w:p w:rsidR="00165A34" w:rsidRDefault="006A5CAF">
      <w:pPr>
        <w:widowControl/>
        <w:jc w:val="left"/>
        <w:rPr>
          <w:rFonts w:ascii="微软雅黑" w:eastAsia="微软雅黑" w:hAnsi="微软雅黑" w:cs="微软雅黑"/>
          <w:b/>
          <w:bCs/>
          <w:color w:val="000000"/>
          <w:kern w:val="0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四、</w:t>
      </w: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32"/>
          <w:szCs w:val="32"/>
        </w:rPr>
        <w:t>整车技术参数</w:t>
      </w:r>
    </w:p>
    <w:tbl>
      <w:tblPr>
        <w:tblStyle w:val="TableNormal"/>
        <w:tblW w:w="846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175"/>
        <w:gridCol w:w="960"/>
        <w:gridCol w:w="2070"/>
        <w:gridCol w:w="4260"/>
      </w:tblGrid>
      <w:tr w:rsidR="00165A34">
        <w:trPr>
          <w:trHeight w:val="383"/>
        </w:trPr>
        <w:tc>
          <w:tcPr>
            <w:tcW w:w="1175" w:type="dxa"/>
          </w:tcPr>
          <w:p w:rsidR="00165A34" w:rsidRDefault="00165A34">
            <w:pPr>
              <w:rPr>
                <w:rFonts w:ascii="宋体"/>
              </w:rPr>
            </w:pPr>
          </w:p>
        </w:tc>
        <w:tc>
          <w:tcPr>
            <w:tcW w:w="960" w:type="dxa"/>
          </w:tcPr>
          <w:p w:rsidR="00165A34" w:rsidRDefault="006A5CAF">
            <w:pPr>
              <w:spacing w:before="72" w:line="185" w:lineRule="auto"/>
              <w:ind w:firstLine="23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</w:rPr>
              <w:t>序号</w:t>
            </w:r>
          </w:p>
        </w:tc>
        <w:tc>
          <w:tcPr>
            <w:tcW w:w="2070" w:type="dxa"/>
          </w:tcPr>
          <w:p w:rsidR="00165A34" w:rsidRDefault="006A5CAF">
            <w:pPr>
              <w:spacing w:before="72" w:line="185" w:lineRule="auto"/>
              <w:ind w:firstLine="629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4"/>
                <w:sz w:val="24"/>
              </w:rPr>
              <w:t>名称</w:t>
            </w:r>
          </w:p>
        </w:tc>
        <w:tc>
          <w:tcPr>
            <w:tcW w:w="4260" w:type="dxa"/>
          </w:tcPr>
          <w:p w:rsidR="00165A34" w:rsidRDefault="006A5CAF">
            <w:pPr>
              <w:spacing w:before="44" w:line="185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</w:rPr>
              <w:t>配置</w:t>
            </w:r>
          </w:p>
        </w:tc>
      </w:tr>
      <w:tr w:rsidR="00165A34">
        <w:trPr>
          <w:trHeight w:val="403"/>
        </w:trPr>
        <w:tc>
          <w:tcPr>
            <w:tcW w:w="1175" w:type="dxa"/>
            <w:vMerge w:val="restart"/>
            <w:tcBorders>
              <w:bottom w:val="nil"/>
            </w:tcBorders>
          </w:tcPr>
          <w:p w:rsidR="00165A34" w:rsidRDefault="00165A34">
            <w:pPr>
              <w:spacing w:line="268" w:lineRule="auto"/>
              <w:rPr>
                <w:rFonts w:ascii="宋体"/>
              </w:rPr>
            </w:pPr>
          </w:p>
          <w:p w:rsidR="00165A34" w:rsidRDefault="00165A34">
            <w:pPr>
              <w:spacing w:line="268" w:lineRule="auto"/>
              <w:rPr>
                <w:rFonts w:ascii="宋体"/>
              </w:rPr>
            </w:pPr>
          </w:p>
          <w:p w:rsidR="00165A34" w:rsidRDefault="00165A34">
            <w:pPr>
              <w:spacing w:line="268" w:lineRule="auto"/>
              <w:rPr>
                <w:rFonts w:ascii="宋体"/>
              </w:rPr>
            </w:pPr>
          </w:p>
          <w:p w:rsidR="00165A34" w:rsidRDefault="00165A34">
            <w:pPr>
              <w:spacing w:line="268" w:lineRule="auto"/>
              <w:rPr>
                <w:rFonts w:ascii="宋体"/>
              </w:rPr>
            </w:pPr>
          </w:p>
          <w:p w:rsidR="00165A34" w:rsidRDefault="00165A34">
            <w:pPr>
              <w:spacing w:line="268" w:lineRule="auto"/>
              <w:rPr>
                <w:rFonts w:ascii="宋体"/>
              </w:rPr>
            </w:pPr>
          </w:p>
          <w:p w:rsidR="00165A34" w:rsidRDefault="00165A34">
            <w:pPr>
              <w:spacing w:line="269" w:lineRule="auto"/>
              <w:rPr>
                <w:rFonts w:ascii="宋体"/>
              </w:rPr>
            </w:pPr>
          </w:p>
          <w:p w:rsidR="00165A34" w:rsidRDefault="006A5CAF">
            <w:pPr>
              <w:spacing w:before="78" w:line="185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</w:rPr>
              <w:t>标配</w:t>
            </w:r>
          </w:p>
        </w:tc>
        <w:tc>
          <w:tcPr>
            <w:tcW w:w="960" w:type="dxa"/>
          </w:tcPr>
          <w:p w:rsidR="00165A34" w:rsidRDefault="006A5CAF">
            <w:pPr>
              <w:spacing w:before="127" w:line="180" w:lineRule="auto"/>
              <w:ind w:firstLine="424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2070" w:type="dxa"/>
          </w:tcPr>
          <w:p w:rsidR="00165A34" w:rsidRDefault="006A5CAF">
            <w:pPr>
              <w:spacing w:before="80" w:line="185" w:lineRule="auto"/>
              <w:ind w:firstLine="387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</w:rPr>
              <w:t>长条警灯</w:t>
            </w:r>
          </w:p>
        </w:tc>
        <w:tc>
          <w:tcPr>
            <w:tcW w:w="4260" w:type="dxa"/>
          </w:tcPr>
          <w:p w:rsidR="00165A34" w:rsidRDefault="006A5CAF">
            <w:pPr>
              <w:spacing w:before="129" w:line="185" w:lineRule="auto"/>
              <w:ind w:firstLine="1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车头安装长排工程警灯，带喊话器。</w:t>
            </w:r>
          </w:p>
        </w:tc>
      </w:tr>
      <w:tr w:rsidR="00165A34">
        <w:trPr>
          <w:trHeight w:val="3206"/>
        </w:trPr>
        <w:tc>
          <w:tcPr>
            <w:tcW w:w="1175" w:type="dxa"/>
            <w:vMerge/>
            <w:tcBorders>
              <w:top w:val="nil"/>
              <w:bottom w:val="nil"/>
            </w:tcBorders>
          </w:tcPr>
          <w:p w:rsidR="00165A34" w:rsidRDefault="00165A34">
            <w:pPr>
              <w:rPr>
                <w:rFonts w:ascii="宋体"/>
              </w:rPr>
            </w:pPr>
          </w:p>
        </w:tc>
        <w:tc>
          <w:tcPr>
            <w:tcW w:w="960" w:type="dxa"/>
          </w:tcPr>
          <w:p w:rsidR="00165A34" w:rsidRDefault="00165A34">
            <w:pPr>
              <w:spacing w:line="256" w:lineRule="auto"/>
              <w:rPr>
                <w:rFonts w:ascii="宋体"/>
              </w:rPr>
            </w:pPr>
          </w:p>
          <w:p w:rsidR="00165A34" w:rsidRDefault="00165A34">
            <w:pPr>
              <w:spacing w:line="256" w:lineRule="auto"/>
              <w:rPr>
                <w:rFonts w:ascii="宋体"/>
              </w:rPr>
            </w:pPr>
          </w:p>
          <w:p w:rsidR="00165A34" w:rsidRDefault="00165A34">
            <w:pPr>
              <w:spacing w:line="256" w:lineRule="auto"/>
              <w:rPr>
                <w:rFonts w:ascii="宋体"/>
              </w:rPr>
            </w:pPr>
          </w:p>
          <w:p w:rsidR="00165A34" w:rsidRDefault="00165A34">
            <w:pPr>
              <w:spacing w:line="256" w:lineRule="auto"/>
              <w:rPr>
                <w:rFonts w:ascii="宋体"/>
              </w:rPr>
            </w:pPr>
          </w:p>
          <w:p w:rsidR="00165A34" w:rsidRDefault="00165A34">
            <w:pPr>
              <w:spacing w:line="257" w:lineRule="auto"/>
              <w:rPr>
                <w:rFonts w:ascii="宋体"/>
              </w:rPr>
            </w:pPr>
          </w:p>
          <w:p w:rsidR="00165A34" w:rsidRDefault="006A5CAF">
            <w:pPr>
              <w:spacing w:before="74" w:line="180" w:lineRule="auto"/>
              <w:ind w:firstLine="417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2070" w:type="dxa"/>
          </w:tcPr>
          <w:p w:rsidR="00165A34" w:rsidRDefault="00165A34">
            <w:pPr>
              <w:spacing w:line="247" w:lineRule="auto"/>
              <w:rPr>
                <w:rFonts w:ascii="宋体"/>
              </w:rPr>
            </w:pPr>
          </w:p>
          <w:p w:rsidR="00165A34" w:rsidRDefault="00165A34">
            <w:pPr>
              <w:spacing w:line="247" w:lineRule="auto"/>
              <w:rPr>
                <w:rFonts w:ascii="宋体"/>
              </w:rPr>
            </w:pPr>
          </w:p>
          <w:p w:rsidR="00165A34" w:rsidRDefault="00165A34">
            <w:pPr>
              <w:spacing w:line="247" w:lineRule="auto"/>
              <w:rPr>
                <w:rFonts w:ascii="宋体"/>
              </w:rPr>
            </w:pPr>
          </w:p>
          <w:p w:rsidR="00165A34" w:rsidRDefault="00165A34">
            <w:pPr>
              <w:spacing w:line="247" w:lineRule="auto"/>
              <w:rPr>
                <w:rFonts w:ascii="宋体"/>
              </w:rPr>
            </w:pPr>
          </w:p>
          <w:p w:rsidR="00165A34" w:rsidRDefault="00165A34">
            <w:pPr>
              <w:spacing w:line="248" w:lineRule="auto"/>
              <w:rPr>
                <w:rFonts w:ascii="宋体"/>
              </w:rPr>
            </w:pPr>
          </w:p>
          <w:p w:rsidR="00165A34" w:rsidRDefault="006A5CAF">
            <w:pPr>
              <w:spacing w:before="78" w:line="185" w:lineRule="auto"/>
              <w:ind w:firstLine="388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</w:rPr>
              <w:t>上装厢体</w:t>
            </w:r>
          </w:p>
        </w:tc>
        <w:tc>
          <w:tcPr>
            <w:tcW w:w="4260" w:type="dxa"/>
          </w:tcPr>
          <w:p w:rsidR="00165A34" w:rsidRDefault="006A5CAF">
            <w:pPr>
              <w:spacing w:before="132" w:line="317" w:lineRule="auto"/>
              <w:ind w:left="112" w:right="49" w:firstLine="1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11"/>
                <w:sz w:val="22"/>
                <w:szCs w:val="22"/>
              </w:rPr>
              <w:t>厢体外部钢材为优质冷轧钢板，内衬优质冷轧</w:t>
            </w:r>
            <w:r>
              <w:rPr>
                <w:rFonts w:ascii="宋体" w:eastAsia="宋体" w:hAnsi="宋体" w:cs="宋体"/>
                <w:spacing w:val="-18"/>
                <w:sz w:val="22"/>
                <w:szCs w:val="22"/>
              </w:rPr>
              <w:t>钢板折弯骨架，工艺先进，强度牢固。厢体为</w:t>
            </w: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全密封结构，具备运输、防雨、防腐、防火、防锈要求。车厢尾部安装铝合金卷帘门。发电</w:t>
            </w:r>
            <w:r>
              <w:rPr>
                <w:rFonts w:ascii="宋体" w:eastAsia="宋体" w:hAnsi="宋体" w:cs="宋体"/>
                <w:spacing w:val="-10"/>
                <w:sz w:val="22"/>
                <w:szCs w:val="22"/>
              </w:rPr>
              <w:t>机组进排风消声处理，消声器做降噪处理。车</w:t>
            </w:r>
            <w:r>
              <w:rPr>
                <w:rFonts w:ascii="宋体" w:eastAsia="宋体" w:hAnsi="宋体" w:cs="宋体"/>
                <w:spacing w:val="4"/>
                <w:sz w:val="22"/>
                <w:szCs w:val="22"/>
              </w:rPr>
              <w:t>厢水泵两侧设开门,发电机进风口和排风口防</w:t>
            </w:r>
            <w:r>
              <w:rPr>
                <w:rFonts w:ascii="宋体" w:eastAsia="宋体" w:hAnsi="宋体" w:cs="宋体"/>
                <w:spacing w:val="-18"/>
                <w:sz w:val="22"/>
                <w:szCs w:val="22"/>
              </w:rPr>
              <w:t>雨百叶窗，工作门下， 尾部设有隐藏式抽拉梯，</w:t>
            </w:r>
            <w:r>
              <w:rPr>
                <w:rFonts w:ascii="宋体" w:eastAsia="宋体" w:hAnsi="宋体" w:cs="宋体"/>
                <w:spacing w:val="-4"/>
                <w:sz w:val="22"/>
                <w:szCs w:val="22"/>
              </w:rPr>
              <w:t>与车厢底板框架连接。</w:t>
            </w:r>
          </w:p>
        </w:tc>
      </w:tr>
      <w:tr w:rsidR="00165A34">
        <w:trPr>
          <w:trHeight w:val="439"/>
        </w:trPr>
        <w:tc>
          <w:tcPr>
            <w:tcW w:w="1175" w:type="dxa"/>
            <w:vMerge/>
            <w:tcBorders>
              <w:top w:val="nil"/>
            </w:tcBorders>
          </w:tcPr>
          <w:p w:rsidR="00165A34" w:rsidRDefault="00165A34">
            <w:pPr>
              <w:rPr>
                <w:rFonts w:ascii="宋体"/>
              </w:rPr>
            </w:pPr>
          </w:p>
        </w:tc>
        <w:tc>
          <w:tcPr>
            <w:tcW w:w="960" w:type="dxa"/>
          </w:tcPr>
          <w:p w:rsidR="00165A34" w:rsidRDefault="006A5CAF">
            <w:pPr>
              <w:spacing w:before="148" w:line="180" w:lineRule="auto"/>
              <w:ind w:firstLine="41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2070" w:type="dxa"/>
          </w:tcPr>
          <w:p w:rsidR="00165A34" w:rsidRDefault="006A5CAF">
            <w:pPr>
              <w:spacing w:before="98" w:line="185" w:lineRule="auto"/>
              <w:ind w:firstLine="111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2"/>
                <w:sz w:val="24"/>
              </w:rPr>
              <w:t>倒车影响</w:t>
            </w:r>
          </w:p>
        </w:tc>
        <w:tc>
          <w:tcPr>
            <w:tcW w:w="4260" w:type="dxa"/>
          </w:tcPr>
          <w:p w:rsidR="00165A34" w:rsidRDefault="006A5CAF">
            <w:pPr>
              <w:spacing w:before="131" w:line="185" w:lineRule="auto"/>
              <w:ind w:firstLine="115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可视倒车雷达,七寸显示屏。</w:t>
            </w:r>
          </w:p>
        </w:tc>
      </w:tr>
      <w:tr w:rsidR="00165A34">
        <w:trPr>
          <w:trHeight w:val="439"/>
        </w:trPr>
        <w:tc>
          <w:tcPr>
            <w:tcW w:w="1175" w:type="dxa"/>
            <w:vMerge w:val="restart"/>
            <w:tcBorders>
              <w:bottom w:val="nil"/>
            </w:tcBorders>
          </w:tcPr>
          <w:p w:rsidR="00165A34" w:rsidRDefault="00165A34">
            <w:pPr>
              <w:spacing w:line="243" w:lineRule="auto"/>
              <w:rPr>
                <w:rFonts w:ascii="宋体"/>
              </w:rPr>
            </w:pPr>
          </w:p>
          <w:p w:rsidR="00165A34" w:rsidRDefault="00165A34">
            <w:pPr>
              <w:spacing w:line="243" w:lineRule="auto"/>
              <w:rPr>
                <w:rFonts w:ascii="宋体"/>
              </w:rPr>
            </w:pPr>
          </w:p>
          <w:p w:rsidR="00165A34" w:rsidRDefault="00165A34">
            <w:pPr>
              <w:spacing w:line="243" w:lineRule="auto"/>
              <w:rPr>
                <w:rFonts w:ascii="宋体"/>
              </w:rPr>
            </w:pPr>
          </w:p>
          <w:p w:rsidR="00165A34" w:rsidRDefault="006A5CAF">
            <w:pPr>
              <w:spacing w:before="78" w:line="185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</w:rPr>
              <w:t>设备配置</w:t>
            </w:r>
          </w:p>
        </w:tc>
        <w:tc>
          <w:tcPr>
            <w:tcW w:w="960" w:type="dxa"/>
          </w:tcPr>
          <w:p w:rsidR="00165A34" w:rsidRDefault="006A5CAF">
            <w:pPr>
              <w:spacing w:before="149" w:line="180" w:lineRule="auto"/>
              <w:ind w:firstLine="424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2070" w:type="dxa"/>
          </w:tcPr>
          <w:p w:rsidR="00165A34" w:rsidRDefault="006A5CAF">
            <w:pPr>
              <w:spacing w:before="102" w:line="185" w:lineRule="auto"/>
              <w:ind w:firstLine="114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3"/>
                <w:sz w:val="24"/>
              </w:rPr>
              <w:t>发电机组</w:t>
            </w:r>
          </w:p>
        </w:tc>
        <w:tc>
          <w:tcPr>
            <w:tcW w:w="4260" w:type="dxa"/>
          </w:tcPr>
          <w:p w:rsidR="00165A34" w:rsidRDefault="006A5CAF">
            <w:pPr>
              <w:spacing w:before="135" w:line="185" w:lineRule="auto"/>
              <w:ind w:firstLine="113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康明斯50KW发电机组</w:t>
            </w:r>
          </w:p>
        </w:tc>
      </w:tr>
      <w:tr w:rsidR="00165A34" w:rsidTr="003E3058">
        <w:trPr>
          <w:trHeight w:val="1912"/>
        </w:trPr>
        <w:tc>
          <w:tcPr>
            <w:tcW w:w="1175" w:type="dxa"/>
            <w:vMerge/>
            <w:tcBorders>
              <w:top w:val="nil"/>
              <w:bottom w:val="nil"/>
            </w:tcBorders>
          </w:tcPr>
          <w:p w:rsidR="00165A34" w:rsidRDefault="00165A34">
            <w:pPr>
              <w:rPr>
                <w:rFonts w:ascii="宋体"/>
              </w:rPr>
            </w:pPr>
          </w:p>
        </w:tc>
        <w:tc>
          <w:tcPr>
            <w:tcW w:w="960" w:type="dxa"/>
          </w:tcPr>
          <w:p w:rsidR="00165A34" w:rsidRDefault="00165A34">
            <w:pPr>
              <w:spacing w:line="276" w:lineRule="auto"/>
              <w:rPr>
                <w:rFonts w:ascii="宋体"/>
              </w:rPr>
            </w:pPr>
          </w:p>
          <w:p w:rsidR="00165A34" w:rsidRDefault="00165A34">
            <w:pPr>
              <w:spacing w:line="277" w:lineRule="auto"/>
              <w:rPr>
                <w:rFonts w:ascii="宋体"/>
              </w:rPr>
            </w:pPr>
          </w:p>
          <w:p w:rsidR="00165A34" w:rsidRDefault="00165A34">
            <w:pPr>
              <w:spacing w:line="277" w:lineRule="auto"/>
              <w:rPr>
                <w:rFonts w:ascii="宋体"/>
              </w:rPr>
            </w:pPr>
          </w:p>
          <w:p w:rsidR="00165A34" w:rsidRDefault="00165A34">
            <w:pPr>
              <w:spacing w:line="277" w:lineRule="auto"/>
              <w:rPr>
                <w:rFonts w:ascii="宋体"/>
              </w:rPr>
            </w:pPr>
          </w:p>
          <w:p w:rsidR="00165A34" w:rsidRDefault="006A5CAF">
            <w:pPr>
              <w:spacing w:before="73" w:line="180" w:lineRule="auto"/>
              <w:ind w:firstLine="417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2070" w:type="dxa"/>
          </w:tcPr>
          <w:p w:rsidR="00165A34" w:rsidRDefault="00165A34">
            <w:pPr>
              <w:spacing w:line="308" w:lineRule="auto"/>
              <w:jc w:val="center"/>
              <w:rPr>
                <w:rFonts w:ascii="宋体"/>
              </w:rPr>
            </w:pPr>
          </w:p>
          <w:p w:rsidR="00165A34" w:rsidRDefault="00165A34">
            <w:pPr>
              <w:spacing w:line="308" w:lineRule="auto"/>
              <w:jc w:val="center"/>
              <w:rPr>
                <w:rFonts w:ascii="宋体"/>
              </w:rPr>
            </w:pPr>
          </w:p>
          <w:p w:rsidR="00165A34" w:rsidRDefault="00165A34">
            <w:pPr>
              <w:spacing w:line="309" w:lineRule="auto"/>
              <w:jc w:val="center"/>
              <w:rPr>
                <w:rFonts w:ascii="宋体"/>
              </w:rPr>
            </w:pPr>
          </w:p>
          <w:p w:rsidR="00165A34" w:rsidRDefault="003E3058">
            <w:pPr>
              <w:spacing w:before="79" w:line="237" w:lineRule="auto"/>
              <w:ind w:left="110" w:right="177" w:hanging="1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2"/>
                <w:sz w:val="24"/>
              </w:rPr>
              <w:t>自吸泵</w:t>
            </w:r>
          </w:p>
        </w:tc>
        <w:tc>
          <w:tcPr>
            <w:tcW w:w="4260" w:type="dxa"/>
          </w:tcPr>
          <w:p w:rsidR="00165A34" w:rsidRDefault="003E3058">
            <w:pPr>
              <w:spacing w:before="137" w:line="314" w:lineRule="auto"/>
              <w:ind w:left="113" w:right="106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/>
                <w:spacing w:val="-11"/>
                <w:sz w:val="22"/>
                <w:szCs w:val="22"/>
              </w:rPr>
              <w:t>配</w:t>
            </w:r>
            <w:r>
              <w:rPr>
                <w:rFonts w:ascii="宋体" w:eastAsia="宋体" w:hAnsi="宋体" w:cs="宋体" w:hint="eastAsia"/>
                <w:spacing w:val="-11"/>
                <w:sz w:val="22"/>
                <w:szCs w:val="22"/>
              </w:rPr>
              <w:t>1</w:t>
            </w:r>
            <w:r>
              <w:rPr>
                <w:rFonts w:ascii="宋体" w:eastAsia="宋体" w:hAnsi="宋体" w:cs="宋体"/>
                <w:spacing w:val="-11"/>
                <w:sz w:val="22"/>
                <w:szCs w:val="22"/>
              </w:rPr>
              <w:t>台便</w:t>
            </w:r>
            <w:r>
              <w:rPr>
                <w:rFonts w:ascii="宋体" w:eastAsia="宋体" w:hAnsi="宋体" w:cs="宋体" w:hint="eastAsia"/>
                <w:spacing w:val="-11"/>
                <w:sz w:val="22"/>
                <w:szCs w:val="22"/>
              </w:rPr>
              <w:t>自吸</w:t>
            </w:r>
            <w:r>
              <w:rPr>
                <w:rFonts w:ascii="宋体" w:eastAsia="宋体" w:hAnsi="宋体" w:cs="宋体"/>
                <w:spacing w:val="-11"/>
                <w:sz w:val="22"/>
                <w:szCs w:val="22"/>
              </w:rPr>
              <w:t>泵，</w:t>
            </w: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水泵流量可达</w:t>
            </w:r>
            <w:r>
              <w:rPr>
                <w:rFonts w:ascii="宋体" w:eastAsia="宋体" w:hAnsi="宋体" w:cs="宋体" w:hint="eastAsia"/>
                <w:spacing w:val="-3"/>
                <w:sz w:val="22"/>
                <w:szCs w:val="22"/>
              </w:rPr>
              <w:t>10</w:t>
            </w: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00立</w:t>
            </w:r>
            <w:r>
              <w:rPr>
                <w:rFonts w:ascii="宋体" w:eastAsia="宋体" w:hAnsi="宋体" w:cs="宋体"/>
                <w:spacing w:val="-7"/>
                <w:sz w:val="22"/>
                <w:szCs w:val="22"/>
              </w:rPr>
              <w:t>方每小时，功率1</w:t>
            </w:r>
            <w:r>
              <w:rPr>
                <w:rFonts w:ascii="宋体" w:eastAsia="宋体" w:hAnsi="宋体" w:cs="宋体" w:hint="eastAsia"/>
                <w:spacing w:val="-7"/>
                <w:sz w:val="22"/>
                <w:szCs w:val="22"/>
              </w:rPr>
              <w:t>132</w:t>
            </w:r>
            <w:r>
              <w:rPr>
                <w:rFonts w:ascii="宋体" w:eastAsia="宋体" w:hAnsi="宋体" w:cs="宋体"/>
                <w:spacing w:val="-7"/>
                <w:sz w:val="22"/>
                <w:szCs w:val="22"/>
              </w:rPr>
              <w:t>KW,扬程为</w:t>
            </w:r>
            <w:r>
              <w:rPr>
                <w:rFonts w:ascii="宋体" w:eastAsia="宋体" w:hAnsi="宋体" w:cs="宋体" w:hint="eastAsia"/>
                <w:spacing w:val="-7"/>
                <w:sz w:val="22"/>
                <w:szCs w:val="22"/>
              </w:rPr>
              <w:t>30m</w:t>
            </w:r>
            <w:r>
              <w:rPr>
                <w:rFonts w:ascii="宋体" w:eastAsia="宋体" w:hAnsi="宋体" w:cs="宋体"/>
                <w:spacing w:val="-7"/>
                <w:sz w:val="22"/>
                <w:szCs w:val="22"/>
              </w:rPr>
              <w:t>，重量为</w:t>
            </w:r>
            <w:r>
              <w:rPr>
                <w:rFonts w:ascii="宋体" w:eastAsia="宋体" w:hAnsi="宋体" w:cs="宋体" w:hint="eastAsia"/>
                <w:spacing w:val="-2"/>
                <w:sz w:val="22"/>
                <w:szCs w:val="22"/>
              </w:rPr>
              <w:t>1520</w:t>
            </w: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KG,</w:t>
            </w:r>
            <w:r>
              <w:rPr>
                <w:rFonts w:ascii="宋体" w:eastAsia="宋体" w:hAnsi="宋体" w:cs="宋体" w:hint="eastAsia"/>
                <w:spacing w:val="-2"/>
                <w:sz w:val="22"/>
                <w:szCs w:val="22"/>
              </w:rPr>
              <w:t>自吸高度6.5</w:t>
            </w: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M</w:t>
            </w:r>
            <w:r>
              <w:rPr>
                <w:rFonts w:ascii="宋体" w:eastAsia="宋体" w:hAnsi="宋体" w:cs="宋体" w:hint="eastAsia"/>
                <w:spacing w:val="-2"/>
                <w:sz w:val="22"/>
                <w:szCs w:val="22"/>
              </w:rPr>
              <w:t>，</w:t>
            </w:r>
            <w:r>
              <w:rPr>
                <w:rFonts w:ascii="宋体" w:eastAsia="宋体" w:hAnsi="宋体" w:cs="宋体"/>
                <w:spacing w:val="-2"/>
                <w:sz w:val="22"/>
                <w:szCs w:val="22"/>
              </w:rPr>
              <w:t>消防式水管两</w:t>
            </w:r>
            <w:r>
              <w:rPr>
                <w:rFonts w:ascii="宋体" w:eastAsia="宋体" w:hAnsi="宋体" w:cs="宋体"/>
                <w:spacing w:val="-3"/>
                <w:sz w:val="22"/>
                <w:szCs w:val="22"/>
              </w:rPr>
              <w:t>根，每根长度为25米。</w:t>
            </w:r>
            <w:r>
              <w:rPr>
                <w:rFonts w:ascii="宋体" w:eastAsia="宋体" w:hAnsi="宋体" w:cs="宋体" w:hint="eastAsia"/>
                <w:spacing w:val="-3"/>
                <w:sz w:val="22"/>
                <w:szCs w:val="22"/>
              </w:rPr>
              <w:t>,</w:t>
            </w:r>
          </w:p>
        </w:tc>
      </w:tr>
      <w:tr w:rsidR="00165A34">
        <w:trPr>
          <w:trHeight w:val="407"/>
        </w:trPr>
        <w:tc>
          <w:tcPr>
            <w:tcW w:w="1175" w:type="dxa"/>
            <w:vMerge/>
            <w:tcBorders>
              <w:top w:val="nil"/>
            </w:tcBorders>
          </w:tcPr>
          <w:p w:rsidR="00165A34" w:rsidRDefault="00165A34">
            <w:pPr>
              <w:rPr>
                <w:rFonts w:ascii="宋体"/>
              </w:rPr>
            </w:pPr>
          </w:p>
        </w:tc>
        <w:tc>
          <w:tcPr>
            <w:tcW w:w="960" w:type="dxa"/>
          </w:tcPr>
          <w:p w:rsidR="00165A34" w:rsidRDefault="006A5CAF">
            <w:pPr>
              <w:spacing w:before="134" w:line="180" w:lineRule="auto"/>
              <w:ind w:firstLine="416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2070" w:type="dxa"/>
          </w:tcPr>
          <w:p w:rsidR="00165A34" w:rsidRDefault="006A5CAF">
            <w:pPr>
              <w:spacing w:before="102" w:line="186" w:lineRule="auto"/>
              <w:ind w:firstLine="446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/>
                <w:spacing w:val="-1"/>
                <w:szCs w:val="21"/>
              </w:rPr>
              <w:t>其它标配</w:t>
            </w:r>
          </w:p>
        </w:tc>
        <w:tc>
          <w:tcPr>
            <w:tcW w:w="4260" w:type="dxa"/>
          </w:tcPr>
          <w:p w:rsidR="00165A34" w:rsidRDefault="00165A34">
            <w:pPr>
              <w:rPr>
                <w:rFonts w:ascii="宋体"/>
              </w:rPr>
            </w:pPr>
          </w:p>
        </w:tc>
      </w:tr>
    </w:tbl>
    <w:p w:rsidR="00165A34" w:rsidRDefault="006A5CAF">
      <w:pPr>
        <w:spacing w:line="420" w:lineRule="exact"/>
        <w:rPr>
          <w:rFonts w:ascii="微软雅黑" w:eastAsia="微软雅黑" w:hAnsi="微软雅黑" w:cs="微软雅黑"/>
          <w:b/>
          <w:bCs/>
          <w:color w:val="000000"/>
          <w:kern w:val="0"/>
          <w:sz w:val="31"/>
          <w:szCs w:val="31"/>
        </w:rPr>
      </w:pPr>
      <w:r>
        <w:rPr>
          <w:rFonts w:hint="eastAsia"/>
          <w:b/>
          <w:bCs/>
          <w:sz w:val="24"/>
        </w:rPr>
        <w:t>备注：以上所列参数仅供用户参考，本公司保留对车型产品改进的权利。</w:t>
      </w:r>
    </w:p>
    <w:p w:rsidR="00165A34" w:rsidRDefault="00165A34">
      <w:pPr>
        <w:sectPr w:rsidR="00165A34">
          <w:headerReference w:type="default" r:id="rId15"/>
          <w:footerReference w:type="default" r:id="rId16"/>
          <w:pgSz w:w="11910" w:h="16840"/>
          <w:pgMar w:top="2428" w:right="1663" w:bottom="1149" w:left="1786" w:header="1420" w:footer="1023" w:gutter="0"/>
          <w:cols w:space="720"/>
        </w:sectPr>
      </w:pPr>
    </w:p>
    <w:p w:rsidR="00165A34" w:rsidRDefault="006A5CAF">
      <w:pPr>
        <w:widowControl/>
        <w:jc w:val="left"/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31"/>
          <w:szCs w:val="31"/>
        </w:rPr>
        <w:lastRenderedPageBreak/>
        <w:t>五、</w:t>
      </w:r>
      <w:r>
        <w:rPr>
          <w:rFonts w:ascii="微软雅黑" w:eastAsia="微软雅黑" w:hAnsi="微软雅黑" w:cs="微软雅黑"/>
          <w:b/>
          <w:bCs/>
          <w:color w:val="000000"/>
          <w:kern w:val="0"/>
          <w:sz w:val="31"/>
          <w:szCs w:val="31"/>
        </w:rPr>
        <w:t xml:space="preserve">售后服务承诺 </w:t>
      </w:r>
      <w:bookmarkStart w:id="0" w:name="_GoBack"/>
      <w:bookmarkEnd w:id="0"/>
    </w:p>
    <w:p w:rsidR="00165A34" w:rsidRDefault="006A5CAF">
      <w:pPr>
        <w:widowControl/>
        <w:jc w:val="left"/>
      </w:pPr>
      <w:r>
        <w:rPr>
          <w:rFonts w:ascii="微软雅黑" w:eastAsia="微软雅黑" w:hAnsi="微软雅黑" w:cs="微软雅黑" w:hint="eastAsia"/>
          <w:color w:val="000000"/>
          <w:kern w:val="0"/>
          <w:sz w:val="22"/>
          <w:szCs w:val="22"/>
        </w:rPr>
        <w:t xml:space="preserve">本公司以质量和高新技术应用作为公司发展前提，以超前的服务理念与服务模式 </w:t>
      </w:r>
    </w:p>
    <w:p w:rsidR="00165A34" w:rsidRDefault="006A5CAF">
      <w:pPr>
        <w:widowControl/>
        <w:jc w:val="left"/>
      </w:pPr>
      <w:r>
        <w:rPr>
          <w:rFonts w:ascii="微软雅黑" w:eastAsia="微软雅黑" w:hAnsi="微软雅黑" w:cs="微软雅黑" w:hint="eastAsia"/>
          <w:color w:val="000000"/>
          <w:kern w:val="0"/>
          <w:sz w:val="22"/>
          <w:szCs w:val="22"/>
        </w:rPr>
        <w:t xml:space="preserve">取信于客户。以人为本创一流企业；以专业精神满足客户所需；以求精理念塑造国际 </w:t>
      </w:r>
    </w:p>
    <w:p w:rsidR="00165A34" w:rsidRDefault="006A5CAF">
      <w:pPr>
        <w:widowControl/>
        <w:jc w:val="left"/>
      </w:pPr>
      <w:r>
        <w:rPr>
          <w:rFonts w:ascii="微软雅黑" w:eastAsia="微软雅黑" w:hAnsi="微软雅黑" w:cs="微软雅黑" w:hint="eastAsia"/>
          <w:color w:val="000000"/>
          <w:kern w:val="0"/>
          <w:sz w:val="22"/>
          <w:szCs w:val="22"/>
        </w:rPr>
        <w:t xml:space="preserve">品牌的宗旨，给我们的客户作如下郑重承诺： </w:t>
      </w:r>
    </w:p>
    <w:p w:rsidR="00165A34" w:rsidRDefault="006A5CAF">
      <w:pPr>
        <w:widowControl/>
        <w:jc w:val="left"/>
      </w:pPr>
      <w:r>
        <w:rPr>
          <w:rFonts w:ascii="微软雅黑" w:eastAsia="微软雅黑" w:hAnsi="微软雅黑" w:cs="微软雅黑" w:hint="eastAsia"/>
          <w:b/>
          <w:bCs/>
          <w:color w:val="000000"/>
          <w:kern w:val="0"/>
          <w:sz w:val="30"/>
          <w:szCs w:val="30"/>
        </w:rPr>
        <w:t xml:space="preserve">客户说好的产品——才是真正可靠的产品 </w:t>
      </w:r>
    </w:p>
    <w:p w:rsidR="00165A34" w:rsidRDefault="006A5CAF">
      <w:pPr>
        <w:widowControl/>
        <w:jc w:val="left"/>
      </w:pPr>
      <w:r>
        <w:rPr>
          <w:rFonts w:ascii="微软雅黑" w:eastAsia="微软雅黑" w:hAnsi="微软雅黑" w:cs="微软雅黑" w:hint="eastAsia"/>
          <w:color w:val="000000"/>
          <w:kern w:val="0"/>
          <w:sz w:val="22"/>
          <w:szCs w:val="22"/>
        </w:rPr>
        <w:t xml:space="preserve">一、质量承诺 </w:t>
      </w:r>
    </w:p>
    <w:p w:rsidR="00165A34" w:rsidRDefault="006A5CAF">
      <w:pPr>
        <w:widowControl/>
        <w:jc w:val="left"/>
      </w:pPr>
      <w:r>
        <w:rPr>
          <w:rFonts w:ascii="Tahoma" w:eastAsia="Tahoma" w:hAnsi="Tahoma" w:cs="Tahoma"/>
          <w:color w:val="000000"/>
          <w:kern w:val="0"/>
          <w:sz w:val="22"/>
          <w:szCs w:val="22"/>
        </w:rPr>
        <w:t>1</w:t>
      </w:r>
      <w:r>
        <w:rPr>
          <w:rFonts w:ascii="微软雅黑" w:eastAsia="微软雅黑" w:hAnsi="微软雅黑" w:cs="微软雅黑" w:hint="eastAsia"/>
          <w:color w:val="000000"/>
          <w:kern w:val="0"/>
          <w:sz w:val="22"/>
          <w:szCs w:val="22"/>
        </w:rPr>
        <w:t xml:space="preserve">、公司所有系列的产品交付客户一年内实行“三包”服务。 </w:t>
      </w:r>
    </w:p>
    <w:p w:rsidR="00165A34" w:rsidRDefault="006A5CAF">
      <w:pPr>
        <w:widowControl/>
        <w:jc w:val="left"/>
      </w:pPr>
      <w:r>
        <w:rPr>
          <w:rFonts w:ascii="Tahoma" w:eastAsia="Tahoma" w:hAnsi="Tahoma" w:cs="Tahoma"/>
          <w:color w:val="000000"/>
          <w:kern w:val="0"/>
          <w:sz w:val="22"/>
          <w:szCs w:val="22"/>
        </w:rPr>
        <w:t>2</w:t>
      </w:r>
      <w:r>
        <w:rPr>
          <w:rFonts w:ascii="微软雅黑" w:eastAsia="微软雅黑" w:hAnsi="微软雅黑" w:cs="微软雅黑" w:hint="eastAsia"/>
          <w:color w:val="000000"/>
          <w:kern w:val="0"/>
          <w:sz w:val="22"/>
          <w:szCs w:val="22"/>
        </w:rPr>
        <w:t xml:space="preserve">、产品符合和超过国家和行业相关标准 </w:t>
      </w:r>
    </w:p>
    <w:p w:rsidR="00165A34" w:rsidRDefault="006A5CAF">
      <w:pPr>
        <w:widowControl/>
        <w:jc w:val="left"/>
      </w:pPr>
      <w:r>
        <w:rPr>
          <w:rFonts w:ascii="微软雅黑" w:eastAsia="微软雅黑" w:hAnsi="微软雅黑" w:cs="微软雅黑" w:hint="eastAsia"/>
          <w:color w:val="000000"/>
          <w:kern w:val="0"/>
          <w:sz w:val="22"/>
          <w:szCs w:val="22"/>
        </w:rPr>
        <w:t xml:space="preserve">二、服务承诺 </w:t>
      </w:r>
    </w:p>
    <w:p w:rsidR="00165A34" w:rsidRDefault="006A5CAF">
      <w:pPr>
        <w:widowControl/>
        <w:jc w:val="left"/>
      </w:pPr>
      <w:r>
        <w:rPr>
          <w:rFonts w:ascii="Tahoma" w:eastAsia="Tahoma" w:hAnsi="Tahoma" w:cs="Tahoma"/>
          <w:color w:val="000000"/>
          <w:kern w:val="0"/>
          <w:sz w:val="22"/>
          <w:szCs w:val="22"/>
        </w:rPr>
        <w:t>1</w:t>
      </w:r>
      <w:r>
        <w:rPr>
          <w:rFonts w:ascii="微软雅黑" w:eastAsia="微软雅黑" w:hAnsi="微软雅黑" w:cs="微软雅黑" w:hint="eastAsia"/>
          <w:color w:val="000000"/>
          <w:kern w:val="0"/>
          <w:sz w:val="22"/>
          <w:szCs w:val="22"/>
        </w:rPr>
        <w:t xml:space="preserve">、给客户提供贴心、增值的售前、售中及售后服务是公司的追求。 </w:t>
      </w:r>
    </w:p>
    <w:p w:rsidR="00165A34" w:rsidRDefault="006A5CAF">
      <w:pPr>
        <w:widowControl/>
        <w:jc w:val="left"/>
      </w:pPr>
      <w:r>
        <w:rPr>
          <w:rFonts w:ascii="Tahoma" w:eastAsia="Tahoma" w:hAnsi="Tahoma" w:cs="Tahoma"/>
          <w:color w:val="000000"/>
          <w:kern w:val="0"/>
          <w:sz w:val="22"/>
          <w:szCs w:val="22"/>
        </w:rPr>
        <w:t>2</w:t>
      </w:r>
      <w:r>
        <w:rPr>
          <w:rFonts w:ascii="微软雅黑" w:eastAsia="微软雅黑" w:hAnsi="微软雅黑" w:cs="微软雅黑" w:hint="eastAsia"/>
          <w:color w:val="000000"/>
          <w:kern w:val="0"/>
          <w:sz w:val="22"/>
          <w:szCs w:val="22"/>
        </w:rPr>
        <w:t xml:space="preserve">、产品在保修期内实行“三包”服务；设备出现故障后，在接到通知后 </w:t>
      </w:r>
      <w:r>
        <w:rPr>
          <w:rFonts w:ascii="Tahoma" w:eastAsia="Tahoma" w:hAnsi="Tahoma" w:cs="Tahoma"/>
          <w:color w:val="000000"/>
          <w:kern w:val="0"/>
          <w:sz w:val="22"/>
          <w:szCs w:val="22"/>
        </w:rPr>
        <w:t xml:space="preserve">1 </w:t>
      </w:r>
      <w:r>
        <w:rPr>
          <w:rFonts w:ascii="微软雅黑" w:eastAsia="微软雅黑" w:hAnsi="微软雅黑" w:cs="微软雅黑" w:hint="eastAsia"/>
          <w:color w:val="000000"/>
          <w:kern w:val="0"/>
          <w:sz w:val="22"/>
          <w:szCs w:val="22"/>
        </w:rPr>
        <w:t xml:space="preserve">小时内提供 </w:t>
      </w:r>
    </w:p>
    <w:p w:rsidR="00165A34" w:rsidRDefault="006A5CAF">
      <w:pPr>
        <w:widowControl/>
        <w:jc w:val="left"/>
      </w:pPr>
      <w:r>
        <w:rPr>
          <w:rFonts w:ascii="微软雅黑" w:eastAsia="微软雅黑" w:hAnsi="微软雅黑" w:cs="微软雅黑" w:hint="eastAsia"/>
          <w:color w:val="000000"/>
          <w:kern w:val="0"/>
          <w:sz w:val="22"/>
          <w:szCs w:val="22"/>
        </w:rPr>
        <w:t>解决方案，并安排人员及时赶往现场</w:t>
      </w:r>
      <w:r>
        <w:rPr>
          <w:rFonts w:ascii="Tahoma" w:eastAsia="Tahoma" w:hAnsi="Tahoma" w:cs="Tahoma"/>
          <w:color w:val="000000"/>
          <w:kern w:val="0"/>
          <w:sz w:val="22"/>
          <w:szCs w:val="22"/>
        </w:rPr>
        <w:t>,</w:t>
      </w:r>
      <w:r>
        <w:rPr>
          <w:rFonts w:ascii="微软雅黑" w:eastAsia="微软雅黑" w:hAnsi="微软雅黑" w:cs="微软雅黑" w:hint="eastAsia"/>
          <w:color w:val="000000"/>
          <w:kern w:val="0"/>
          <w:sz w:val="22"/>
          <w:szCs w:val="22"/>
        </w:rPr>
        <w:t xml:space="preserve">三包期内的所有服务、配件等全部免费。 </w:t>
      </w:r>
    </w:p>
    <w:p w:rsidR="00165A34" w:rsidRDefault="006A5CAF">
      <w:pPr>
        <w:widowControl/>
        <w:jc w:val="left"/>
      </w:pPr>
      <w:r>
        <w:rPr>
          <w:rFonts w:ascii="Tahoma" w:eastAsia="Tahoma" w:hAnsi="Tahoma" w:cs="Tahoma"/>
          <w:color w:val="000000"/>
          <w:kern w:val="0"/>
          <w:sz w:val="22"/>
          <w:szCs w:val="22"/>
        </w:rPr>
        <w:t>3</w:t>
      </w:r>
      <w:r>
        <w:rPr>
          <w:rFonts w:ascii="微软雅黑" w:eastAsia="微软雅黑" w:hAnsi="微软雅黑" w:cs="微软雅黑" w:hint="eastAsia"/>
          <w:color w:val="000000"/>
          <w:kern w:val="0"/>
          <w:sz w:val="22"/>
          <w:szCs w:val="22"/>
        </w:rPr>
        <w:t xml:space="preserve">、产品保修期满后，公司派专业的服务工程师前去维修，维修时如更换零部件只收取 </w:t>
      </w:r>
    </w:p>
    <w:p w:rsidR="00165A34" w:rsidRDefault="006A5CAF">
      <w:pPr>
        <w:widowControl/>
        <w:jc w:val="left"/>
      </w:pPr>
      <w:r>
        <w:rPr>
          <w:rFonts w:ascii="微软雅黑" w:eastAsia="微软雅黑" w:hAnsi="微软雅黑" w:cs="微软雅黑" w:hint="eastAsia"/>
          <w:color w:val="000000"/>
          <w:kern w:val="0"/>
          <w:sz w:val="22"/>
          <w:szCs w:val="22"/>
        </w:rPr>
        <w:t xml:space="preserve">零部件成本费，免收服务费；非人为因素上装结构部分终身质保。 </w:t>
      </w:r>
    </w:p>
    <w:p w:rsidR="00165A34" w:rsidRDefault="006A5CAF">
      <w:pPr>
        <w:widowControl/>
        <w:jc w:val="left"/>
      </w:pPr>
      <w:r>
        <w:rPr>
          <w:rFonts w:ascii="Tahoma" w:eastAsia="Tahoma" w:hAnsi="Tahoma" w:cs="Tahoma"/>
          <w:color w:val="000000"/>
          <w:kern w:val="0"/>
          <w:sz w:val="22"/>
          <w:szCs w:val="22"/>
        </w:rPr>
        <w:t>4</w:t>
      </w:r>
      <w:r>
        <w:rPr>
          <w:rFonts w:ascii="微软雅黑" w:eastAsia="微软雅黑" w:hAnsi="微软雅黑" w:cs="微软雅黑" w:hint="eastAsia"/>
          <w:color w:val="000000"/>
          <w:kern w:val="0"/>
          <w:sz w:val="22"/>
          <w:szCs w:val="22"/>
        </w:rPr>
        <w:t xml:space="preserve">、车辆售出至客户处免费进行结构原理、液压原理、控制原理及整车安全操作培训； </w:t>
      </w:r>
    </w:p>
    <w:p w:rsidR="00165A34" w:rsidRDefault="006A5CAF">
      <w:pPr>
        <w:widowControl/>
        <w:jc w:val="left"/>
      </w:pPr>
      <w:r>
        <w:rPr>
          <w:rFonts w:ascii="Tahoma" w:eastAsia="Tahoma" w:hAnsi="Tahoma" w:cs="Tahoma"/>
          <w:color w:val="000000"/>
          <w:kern w:val="0"/>
          <w:sz w:val="22"/>
          <w:szCs w:val="22"/>
        </w:rPr>
        <w:t>5</w:t>
      </w:r>
      <w:r>
        <w:rPr>
          <w:rFonts w:ascii="微软雅黑" w:eastAsia="微软雅黑" w:hAnsi="微软雅黑" w:cs="微软雅黑" w:hint="eastAsia"/>
          <w:color w:val="000000"/>
          <w:kern w:val="0"/>
          <w:sz w:val="22"/>
          <w:szCs w:val="22"/>
        </w:rPr>
        <w:t xml:space="preserve">、车辆售出一季度内，服务工程师主动上门服务； </w:t>
      </w:r>
    </w:p>
    <w:p w:rsidR="00165A34" w:rsidRDefault="006A5CAF">
      <w:pPr>
        <w:widowControl/>
        <w:jc w:val="left"/>
      </w:pPr>
      <w:r>
        <w:rPr>
          <w:rFonts w:ascii="Tahoma" w:eastAsia="Tahoma" w:hAnsi="Tahoma" w:cs="Tahoma"/>
          <w:color w:val="000000"/>
          <w:kern w:val="0"/>
          <w:sz w:val="22"/>
          <w:szCs w:val="22"/>
        </w:rPr>
        <w:t>6</w:t>
      </w:r>
      <w:r>
        <w:rPr>
          <w:rFonts w:ascii="微软雅黑" w:eastAsia="微软雅黑" w:hAnsi="微软雅黑" w:cs="微软雅黑" w:hint="eastAsia"/>
          <w:color w:val="000000"/>
          <w:kern w:val="0"/>
          <w:sz w:val="22"/>
          <w:szCs w:val="22"/>
        </w:rPr>
        <w:t xml:space="preserve">、服务工程师每月保持与客户的电话回访服务，及时解决客户使用中的任何问题。 </w:t>
      </w:r>
    </w:p>
    <w:p w:rsidR="00165A34" w:rsidRDefault="006A5CAF">
      <w:pPr>
        <w:widowControl/>
        <w:jc w:val="left"/>
      </w:pPr>
      <w:r>
        <w:rPr>
          <w:rFonts w:ascii="Tahoma" w:eastAsia="Tahoma" w:hAnsi="Tahoma" w:cs="Tahoma"/>
          <w:color w:val="000000"/>
          <w:kern w:val="0"/>
          <w:sz w:val="22"/>
          <w:szCs w:val="22"/>
        </w:rPr>
        <w:t>7</w:t>
      </w:r>
      <w:r>
        <w:rPr>
          <w:rFonts w:ascii="微软雅黑" w:eastAsia="微软雅黑" w:hAnsi="微软雅黑" w:cs="微软雅黑" w:hint="eastAsia"/>
          <w:color w:val="000000"/>
          <w:kern w:val="0"/>
          <w:sz w:val="22"/>
          <w:szCs w:val="22"/>
        </w:rPr>
        <w:t xml:space="preserve">、车辆售出半年，服务工程师再次上门服务； </w:t>
      </w:r>
    </w:p>
    <w:p w:rsidR="00165A34" w:rsidRDefault="006A5CAF">
      <w:pPr>
        <w:widowControl/>
        <w:jc w:val="left"/>
      </w:pPr>
      <w:r>
        <w:rPr>
          <w:rFonts w:ascii="Tahoma" w:eastAsia="Tahoma" w:hAnsi="Tahoma" w:cs="Tahoma"/>
          <w:color w:val="000000"/>
          <w:kern w:val="0"/>
          <w:sz w:val="22"/>
          <w:szCs w:val="22"/>
        </w:rPr>
        <w:t>8</w:t>
      </w:r>
      <w:r>
        <w:rPr>
          <w:rFonts w:ascii="微软雅黑" w:eastAsia="微软雅黑" w:hAnsi="微软雅黑" w:cs="微软雅黑" w:hint="eastAsia"/>
          <w:color w:val="000000"/>
          <w:kern w:val="0"/>
          <w:sz w:val="22"/>
          <w:szCs w:val="22"/>
        </w:rPr>
        <w:t xml:space="preserve">、车辆售出一年，服务工程师对整车进行免费检查及保养； </w:t>
      </w:r>
    </w:p>
    <w:p w:rsidR="00165A34" w:rsidRDefault="006A5CAF">
      <w:pPr>
        <w:widowControl/>
        <w:jc w:val="left"/>
      </w:pPr>
      <w:r>
        <w:rPr>
          <w:rFonts w:ascii="Tahoma" w:eastAsia="Tahoma" w:hAnsi="Tahoma" w:cs="Tahoma"/>
          <w:color w:val="000000"/>
          <w:kern w:val="0"/>
          <w:sz w:val="22"/>
          <w:szCs w:val="22"/>
        </w:rPr>
        <w:t>9</w:t>
      </w:r>
      <w:r>
        <w:rPr>
          <w:rFonts w:ascii="微软雅黑" w:eastAsia="微软雅黑" w:hAnsi="微软雅黑" w:cs="微软雅黑" w:hint="eastAsia"/>
          <w:color w:val="000000"/>
          <w:kern w:val="0"/>
          <w:sz w:val="22"/>
          <w:szCs w:val="22"/>
        </w:rPr>
        <w:t xml:space="preserve">、三包期外，服务工程师不定期进行电话跟踪服务及主动上门服务； </w:t>
      </w:r>
    </w:p>
    <w:p w:rsidR="00165A34" w:rsidRDefault="006A5CAF">
      <w:pPr>
        <w:widowControl/>
        <w:jc w:val="left"/>
      </w:pPr>
      <w:r>
        <w:rPr>
          <w:rFonts w:ascii="Tahoma" w:eastAsia="Tahoma" w:hAnsi="Tahoma" w:cs="Tahoma"/>
          <w:color w:val="000000"/>
          <w:kern w:val="0"/>
          <w:sz w:val="22"/>
          <w:szCs w:val="22"/>
        </w:rPr>
        <w:t>10</w:t>
      </w:r>
      <w:r>
        <w:rPr>
          <w:rFonts w:ascii="微软雅黑" w:eastAsia="微软雅黑" w:hAnsi="微软雅黑" w:cs="微软雅黑" w:hint="eastAsia"/>
          <w:color w:val="000000"/>
          <w:kern w:val="0"/>
          <w:sz w:val="22"/>
          <w:szCs w:val="22"/>
        </w:rPr>
        <w:t xml:space="preserve">、当客户购买的其它企业的高空作业车产品出现故障时，我公司免费提供故障诊断 </w:t>
      </w:r>
    </w:p>
    <w:p w:rsidR="00165A34" w:rsidRDefault="006A5CAF">
      <w:pPr>
        <w:widowControl/>
        <w:jc w:val="left"/>
      </w:pPr>
      <w:r>
        <w:rPr>
          <w:rFonts w:ascii="微软雅黑" w:eastAsia="微软雅黑" w:hAnsi="微软雅黑" w:cs="微软雅黑" w:hint="eastAsia"/>
          <w:color w:val="000000"/>
          <w:kern w:val="0"/>
          <w:sz w:val="22"/>
          <w:szCs w:val="22"/>
        </w:rPr>
        <w:t>或现场指导客户进行车辆维修。</w:t>
      </w:r>
    </w:p>
    <w:p w:rsidR="00165A34" w:rsidRDefault="00165A34"/>
    <w:sectPr w:rsidR="00165A34" w:rsidSect="00165A34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421" w:rsidRDefault="00B93421" w:rsidP="00165A34">
      <w:r>
        <w:separator/>
      </w:r>
    </w:p>
  </w:endnote>
  <w:endnote w:type="continuationSeparator" w:id="1">
    <w:p w:rsidR="00B93421" w:rsidRDefault="00B93421" w:rsidP="00165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34" w:rsidRDefault="006A5CAF">
    <w:pPr>
      <w:spacing w:line="126" w:lineRule="exact"/>
      <w:ind w:firstLine="4128"/>
      <w:rPr>
        <w:rFonts w:ascii="宋体" w:eastAsia="宋体" w:hAnsi="宋体" w:cs="宋体"/>
        <w:sz w:val="18"/>
        <w:szCs w:val="18"/>
      </w:rPr>
    </w:pPr>
    <w:r>
      <w:rPr>
        <w:rFonts w:ascii="宋体" w:eastAsia="宋体" w:hAnsi="宋体" w:cs="宋体"/>
        <w:position w:val="-2"/>
        <w:sz w:val="18"/>
        <w:szCs w:val="18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421" w:rsidRDefault="00B93421" w:rsidP="00165A34">
      <w:r>
        <w:separator/>
      </w:r>
    </w:p>
  </w:footnote>
  <w:footnote w:type="continuationSeparator" w:id="1">
    <w:p w:rsidR="00B93421" w:rsidRDefault="00B93421" w:rsidP="00165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34" w:rsidRDefault="006A5CAF">
    <w:pPr>
      <w:pStyle w:val="a5"/>
      <w:ind w:firstLineChars="900" w:firstLine="3253"/>
      <w:rPr>
        <w:sz w:val="36"/>
        <w:szCs w:val="36"/>
      </w:rPr>
    </w:pPr>
    <w:r>
      <w:rPr>
        <w:b/>
        <w:bCs/>
        <w:noProof/>
        <w:color w:val="FF0000"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1224280</wp:posOffset>
          </wp:positionH>
          <wp:positionV relativeFrom="page">
            <wp:posOffset>521335</wp:posOffset>
          </wp:positionV>
          <wp:extent cx="941705" cy="401320"/>
          <wp:effectExtent l="0" t="0" r="10795" b="1778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170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bCs/>
        <w:color w:val="FF0000"/>
        <w:sz w:val="36"/>
        <w:szCs w:val="36"/>
      </w:rPr>
      <w:t>湖北宏宇专汽应急救险车系列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34" w:rsidRDefault="00165A34">
    <w:pPr>
      <w:spacing w:line="14" w:lineRule="auto"/>
      <w:rPr>
        <w:rFonts w:ascii="宋体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996FEE"/>
    <w:multiLevelType w:val="singleLevel"/>
    <w:tmpl w:val="DE996FE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65A34"/>
    <w:rsid w:val="00165A34"/>
    <w:rsid w:val="0021265C"/>
    <w:rsid w:val="003E3058"/>
    <w:rsid w:val="006255BA"/>
    <w:rsid w:val="006A5CAF"/>
    <w:rsid w:val="00B93421"/>
    <w:rsid w:val="00CF3005"/>
    <w:rsid w:val="0194674A"/>
    <w:rsid w:val="022B0E5C"/>
    <w:rsid w:val="04441D61"/>
    <w:rsid w:val="07632E46"/>
    <w:rsid w:val="076A7DA6"/>
    <w:rsid w:val="078D1B6A"/>
    <w:rsid w:val="08AA481F"/>
    <w:rsid w:val="09371E95"/>
    <w:rsid w:val="0B470389"/>
    <w:rsid w:val="0B73117E"/>
    <w:rsid w:val="0B9813FC"/>
    <w:rsid w:val="0D2A3ABE"/>
    <w:rsid w:val="0DFE11D3"/>
    <w:rsid w:val="0F5F0397"/>
    <w:rsid w:val="1292638E"/>
    <w:rsid w:val="14EF3F6B"/>
    <w:rsid w:val="180F4ED9"/>
    <w:rsid w:val="1B157B5C"/>
    <w:rsid w:val="1B2E0C1E"/>
    <w:rsid w:val="1D181BC9"/>
    <w:rsid w:val="23E478A8"/>
    <w:rsid w:val="24ED38F7"/>
    <w:rsid w:val="270F7B55"/>
    <w:rsid w:val="28814A83"/>
    <w:rsid w:val="2C1D2233"/>
    <w:rsid w:val="2DCC1D64"/>
    <w:rsid w:val="2F587052"/>
    <w:rsid w:val="33D550CD"/>
    <w:rsid w:val="37F012DD"/>
    <w:rsid w:val="39F91F13"/>
    <w:rsid w:val="3A820D08"/>
    <w:rsid w:val="3E2F5C55"/>
    <w:rsid w:val="3F285800"/>
    <w:rsid w:val="407303E6"/>
    <w:rsid w:val="42DD6902"/>
    <w:rsid w:val="440A4422"/>
    <w:rsid w:val="45CC5137"/>
    <w:rsid w:val="47660981"/>
    <w:rsid w:val="4CB46925"/>
    <w:rsid w:val="4DF41CAE"/>
    <w:rsid w:val="4E4F6905"/>
    <w:rsid w:val="4EB939E1"/>
    <w:rsid w:val="4FEA5A0B"/>
    <w:rsid w:val="502B6EFE"/>
    <w:rsid w:val="53FD32A8"/>
    <w:rsid w:val="558275C0"/>
    <w:rsid w:val="55F935FB"/>
    <w:rsid w:val="57521214"/>
    <w:rsid w:val="57911D3D"/>
    <w:rsid w:val="589F0489"/>
    <w:rsid w:val="592F3F03"/>
    <w:rsid w:val="5C974299"/>
    <w:rsid w:val="5D7874FB"/>
    <w:rsid w:val="5DB1138B"/>
    <w:rsid w:val="5E1B6804"/>
    <w:rsid w:val="5E8063ED"/>
    <w:rsid w:val="6092522B"/>
    <w:rsid w:val="64962D8F"/>
    <w:rsid w:val="65534AD5"/>
    <w:rsid w:val="65D11CFD"/>
    <w:rsid w:val="65F24DF4"/>
    <w:rsid w:val="66952ECC"/>
    <w:rsid w:val="6AA2425D"/>
    <w:rsid w:val="6C054650"/>
    <w:rsid w:val="6CFE17CB"/>
    <w:rsid w:val="6E6E32EC"/>
    <w:rsid w:val="6E7F06E9"/>
    <w:rsid w:val="6EA842F1"/>
    <w:rsid w:val="70D913FC"/>
    <w:rsid w:val="71B20DD6"/>
    <w:rsid w:val="74463A57"/>
    <w:rsid w:val="768216BE"/>
    <w:rsid w:val="76C07AF1"/>
    <w:rsid w:val="7B4B0BEE"/>
    <w:rsid w:val="7CC80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A3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qFormat/>
    <w:rsid w:val="00165A34"/>
  </w:style>
  <w:style w:type="paragraph" w:styleId="a4">
    <w:name w:val="footer"/>
    <w:basedOn w:val="a"/>
    <w:qFormat/>
    <w:rsid w:val="00165A3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165A3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31">
    <w:name w:val="font31"/>
    <w:basedOn w:val="a0"/>
    <w:qFormat/>
    <w:rsid w:val="00165A34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165A34"/>
    <w:rPr>
      <w:rFonts w:ascii="Tahoma" w:eastAsia="Tahoma" w:hAnsi="Tahoma" w:cs="Tahom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165A34"/>
    <w:rPr>
      <w:rFonts w:ascii="宋体" w:eastAsia="宋体" w:hAnsi="宋体" w:cs="宋体" w:hint="eastAsia"/>
      <w:color w:val="000000"/>
      <w:sz w:val="24"/>
      <w:szCs w:val="24"/>
      <w:u w:val="none"/>
    </w:rPr>
  </w:style>
  <w:style w:type="table" w:customStyle="1" w:styleId="TableNormal">
    <w:name w:val="Table Normal"/>
    <w:semiHidden/>
    <w:unhideWhenUsed/>
    <w:qFormat/>
    <w:rsid w:val="00165A3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01">
    <w:name w:val="font01"/>
    <w:basedOn w:val="a0"/>
    <w:qFormat/>
    <w:rsid w:val="00165A34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6">
    <w:name w:val="Balloon Text"/>
    <w:basedOn w:val="a"/>
    <w:link w:val="Char"/>
    <w:rsid w:val="0021265C"/>
    <w:rPr>
      <w:sz w:val="18"/>
      <w:szCs w:val="18"/>
    </w:rPr>
  </w:style>
  <w:style w:type="character" w:customStyle="1" w:styleId="Char">
    <w:name w:val="批注框文本 Char"/>
    <w:basedOn w:val="a0"/>
    <w:link w:val="a6"/>
    <w:rsid w:val="0021265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2021-11-30T06:22:00Z</dcterms:created>
  <dcterms:modified xsi:type="dcterms:W3CDTF">2022-01-19T04:09:00Z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EAC94FA0A9AC41BB8CDCC9BA68ECC730</vt:lpwstr>
  </property>
</Properties>
</file>