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720" w:firstLineChars="10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2"/>
          <w:szCs w:val="7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2"/>
          <w:szCs w:val="72"/>
          <w:lang w:val="en-US" w:eastAsia="zh-CN" w:bidi="ar"/>
        </w:rPr>
        <w:t>东风凯普特</w:t>
      </w:r>
    </w:p>
    <w:p>
      <w:pPr>
        <w:keepNext w:val="0"/>
        <w:keepLines w:val="0"/>
        <w:widowControl/>
        <w:suppressLineNumbers w:val="0"/>
        <w:ind w:firstLine="720" w:firstLineChars="100"/>
        <w:jc w:val="center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2"/>
          <w:szCs w:val="72"/>
          <w:lang w:val="en-US" w:eastAsia="zh-CN" w:bidi="ar"/>
        </w:rPr>
        <w:t>应 急 救 险 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8"/>
          <w:szCs w:val="48"/>
          <w:lang w:val="en-US" w:eastAsia="zh-CN" w:bidi="ar"/>
        </w:rPr>
        <w:t>（东风凯普特国六底盘）</w:t>
      </w:r>
    </w:p>
    <w:p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default" w:ascii="Tahoma" w:hAnsi="Tahoma" w:eastAsia="Tahoma" w:cs="Tahoma"/>
          <w:color w:val="000000"/>
          <w:kern w:val="0"/>
          <w:sz w:val="44"/>
          <w:szCs w:val="44"/>
          <w:lang w:val="en-US" w:eastAsia="zh-CN" w:bidi="ar"/>
        </w:rPr>
        <w:t>(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  <w:t xml:space="preserve">虹宇牌 </w:t>
      </w:r>
      <w:r>
        <w:rPr>
          <w:rFonts w:hint="eastAsia" w:ascii="Tahoma" w:hAnsi="Tahoma" w:eastAsia="Tahoma" w:cs="Tahoma"/>
          <w:color w:val="000000"/>
          <w:kern w:val="0"/>
          <w:sz w:val="44"/>
          <w:szCs w:val="44"/>
          <w:lang w:val="en-US" w:eastAsia="zh-CN" w:bidi="ar"/>
        </w:rPr>
        <w:t>HYS5080XXHE6</w:t>
      </w:r>
      <w:r>
        <w:rPr>
          <w:rFonts w:hint="default" w:ascii="Tahoma" w:hAnsi="Tahoma" w:eastAsia="Tahoma" w:cs="Tahoma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  <w:t>应急救险车）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  <w:t>产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  <w:t>品</w:t>
      </w:r>
    </w:p>
    <w:p>
      <w:pPr>
        <w:keepNext w:val="0"/>
        <w:keepLines w:val="0"/>
        <w:widowControl/>
        <w:suppressLineNumbers w:val="0"/>
        <w:jc w:val="center"/>
        <w:rPr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  <w:t>简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  <w:t>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  <w:t>一、整车图片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5273040" cy="3954145"/>
            <wp:effectExtent l="0" t="0" r="3810" b="8255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5266055" cy="3949700"/>
            <wp:effectExtent l="0" t="0" r="10795" b="1270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drawing>
          <wp:inline distT="0" distB="0" distL="114300" distR="114300">
            <wp:extent cx="5363845" cy="4022725"/>
            <wp:effectExtent l="0" t="0" r="8255" b="15875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3845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6"/>
          <w:szCs w:val="36"/>
          <w:lang w:eastAsia="zh-CN"/>
        </w:rPr>
        <w:drawing>
          <wp:inline distT="0" distB="0" distL="114300" distR="114300">
            <wp:extent cx="5372100" cy="4027805"/>
            <wp:effectExtent l="0" t="0" r="0" b="10795"/>
            <wp:docPr id="10" name="图片 1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drawing>
          <wp:inline distT="0" distB="0" distL="114300" distR="114300">
            <wp:extent cx="5363845" cy="4023995"/>
            <wp:effectExtent l="0" t="0" r="8255" b="14605"/>
            <wp:docPr id="11" name="图片 1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3845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drawing>
          <wp:inline distT="0" distB="0" distL="114300" distR="114300">
            <wp:extent cx="5367655" cy="4148455"/>
            <wp:effectExtent l="0" t="0" r="4445" b="4445"/>
            <wp:docPr id="12" name="图片 1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二、底盘配置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主要配置：国六3800轴距,凯普特K7,2030/单排，ZD30D16-6N，160马力，万里扬6档，245/70R19.5轮胎，2.7t/5.5t桥，板簧8/10+7,192双层车架，空调，中控锁，电动窗，多功能方向盘，ABS，断气刹，排气制动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产品详情</w:t>
      </w:r>
    </w:p>
    <w:p>
      <w:pPr>
        <w:spacing w:line="4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该车采用全开放式车厢结构，货架采用模块式框架结构，充分利用各处空间。</w:t>
      </w:r>
    </w:p>
    <w:p>
      <w:pPr>
        <w:spacing w:line="4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工器具分区存放，综合考虑各类工器具的外形、重量、功能等特征，外形与重量大的工器具放置于低位，功能相近的工器具集中放置。</w:t>
      </w:r>
    </w:p>
    <w:p>
      <w:pPr>
        <w:spacing w:line="4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车厢内设置多种存放机构，以便于存取操作，如采用滑轨托盘以便于取放内侧物品、采用动力升降台以便于存取重型工器具。</w:t>
      </w:r>
    </w:p>
    <w:p>
      <w:pPr>
        <w:spacing w:line="4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工器具设多种防护装置，如挡块、孔座、绑带、胶垫等，以防滑、防跳、防撞、减震等。工器具存放位置均设醒目标识，便于各种工器具使用后即时归位。车厢内外设置多种照明装置，以便于工器具存取与施工现场照明。</w:t>
      </w:r>
    </w:p>
    <w:p>
      <w:pPr>
        <w:spacing w:line="4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车辆配带10KW～100KW的发电机组，为本车工器具或外部需要提供电力外供接口。</w:t>
      </w:r>
    </w:p>
    <w:p>
      <w:pPr>
        <w:spacing w:line="420" w:lineRule="exact"/>
        <w:ind w:firstLine="640" w:firstLineChars="200"/>
        <w:jc w:val="both"/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舱内设置发电机组，焊机.切割机.空气压缩机等应急抢修设施，适应于全天候的野外露天作业，具有整体性能稳定可靠、一体操作轻便实用、用途广泛性价比高等特点。能很好的满足户外作业和城市防汛、农业抗旱、市政工程和应急排水的需要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。</w:t>
      </w:r>
    </w:p>
    <w:p>
      <w:pPr>
        <w:ind w:firstLine="320" w:firstLineChars="1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发电机组选用国内外知名品牌：康明斯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功率：≥50KW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额定频率：50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额电压：400v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/>
          <w:b/>
          <w:bCs/>
          <w:sz w:val="32"/>
          <w:szCs w:val="32"/>
          <w:lang w:eastAsia="zh-CN"/>
        </w:rPr>
        <w:t>四、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  <w:t>整车技术参数</w:t>
      </w:r>
    </w:p>
    <w:tbl>
      <w:tblPr>
        <w:tblStyle w:val="10"/>
        <w:tblW w:w="84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960"/>
        <w:gridCol w:w="2070"/>
        <w:gridCol w:w="42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1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before="72" w:line="185" w:lineRule="auto"/>
              <w:ind w:firstLine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070" w:type="dxa"/>
            <w:vAlign w:val="top"/>
          </w:tcPr>
          <w:p>
            <w:pPr>
              <w:spacing w:before="72" w:line="185" w:lineRule="auto"/>
              <w:ind w:firstLine="6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4260" w:type="dxa"/>
            <w:vAlign w:val="top"/>
          </w:tcPr>
          <w:p>
            <w:pPr>
              <w:spacing w:before="44" w:line="18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配置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269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标配</w:t>
            </w:r>
          </w:p>
        </w:tc>
        <w:tc>
          <w:tcPr>
            <w:tcW w:w="960" w:type="dxa"/>
            <w:vAlign w:val="top"/>
          </w:tcPr>
          <w:p>
            <w:pPr>
              <w:spacing w:before="127" w:line="180" w:lineRule="auto"/>
              <w:ind w:firstLine="424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2070" w:type="dxa"/>
            <w:vAlign w:val="top"/>
          </w:tcPr>
          <w:p>
            <w:pPr>
              <w:spacing w:before="80" w:line="185" w:lineRule="auto"/>
              <w:ind w:firstLine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长条警灯</w:t>
            </w:r>
          </w:p>
        </w:tc>
        <w:tc>
          <w:tcPr>
            <w:tcW w:w="4260" w:type="dxa"/>
            <w:vAlign w:val="top"/>
          </w:tcPr>
          <w:p>
            <w:pPr>
              <w:spacing w:before="129" w:line="185" w:lineRule="auto"/>
              <w:ind w:firstLine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车头安装长排工程警灯，带喊话器。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256" w:lineRule="auto"/>
              <w:rPr>
                <w:rFonts w:ascii="宋体"/>
                <w:sz w:val="21"/>
              </w:rPr>
            </w:pPr>
          </w:p>
          <w:p>
            <w:pPr>
              <w:spacing w:line="256" w:lineRule="auto"/>
              <w:rPr>
                <w:rFonts w:ascii="宋体"/>
                <w:sz w:val="21"/>
              </w:rPr>
            </w:pPr>
          </w:p>
          <w:p>
            <w:pPr>
              <w:spacing w:line="256" w:lineRule="auto"/>
              <w:rPr>
                <w:rFonts w:ascii="宋体"/>
                <w:sz w:val="21"/>
              </w:rPr>
            </w:pPr>
          </w:p>
          <w:p>
            <w:pPr>
              <w:spacing w:line="256" w:lineRule="auto"/>
              <w:rPr>
                <w:rFonts w:ascii="宋体"/>
                <w:sz w:val="21"/>
              </w:rPr>
            </w:pPr>
          </w:p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before="74" w:line="180" w:lineRule="auto"/>
              <w:ind w:firstLine="41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2070" w:type="dxa"/>
            <w:vAlign w:val="top"/>
          </w:tcPr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jc w:val="both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38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上装厢体</w:t>
            </w:r>
          </w:p>
        </w:tc>
        <w:tc>
          <w:tcPr>
            <w:tcW w:w="4260" w:type="dxa"/>
            <w:vAlign w:val="top"/>
          </w:tcPr>
          <w:p>
            <w:pPr>
              <w:spacing w:before="132" w:line="317" w:lineRule="auto"/>
              <w:ind w:left="112" w:right="49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厢体外部钢材为优质冷轧钢板，</w:t>
            </w:r>
            <w:r>
              <w:rPr>
                <w:rFonts w:ascii="宋体" w:hAnsi="宋体" w:eastAsia="宋体" w:cs="宋体"/>
                <w:spacing w:val="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内衬优质冷轧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钢板折弯骨架，</w:t>
            </w:r>
            <w:r>
              <w:rPr>
                <w:rFonts w:ascii="宋体" w:hAnsi="宋体" w:eastAsia="宋体" w:cs="宋体"/>
                <w:spacing w:val="7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工艺先进，</w:t>
            </w: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强度牢固。厢体为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全密封结构，具备运输、防雨、防腐、防火、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防锈要求。车厢尾部安装铝合金卷帘门。发电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机组进排风消声处理，</w:t>
            </w:r>
            <w:r>
              <w:rPr>
                <w:rFonts w:ascii="宋体" w:hAnsi="宋体" w:eastAsia="宋体" w:cs="宋体"/>
                <w:spacing w:val="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消声器做降噪处理。车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厢水泵两侧设开门,发电机进风口和排风口防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雨百叶窗，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工作门下， 尾部设有隐藏式抽拉梯，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与车厢底板框架连接。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before="148" w:line="180" w:lineRule="auto"/>
              <w:ind w:firstLine="41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2070" w:type="dxa"/>
            <w:vAlign w:val="top"/>
          </w:tcPr>
          <w:p>
            <w:pPr>
              <w:spacing w:before="98" w:line="185" w:lineRule="auto"/>
              <w:ind w:firstLine="11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倒车影响</w:t>
            </w:r>
          </w:p>
        </w:tc>
        <w:tc>
          <w:tcPr>
            <w:tcW w:w="4260" w:type="dxa"/>
            <w:vAlign w:val="top"/>
          </w:tcPr>
          <w:p>
            <w:pPr>
              <w:spacing w:before="131" w:line="185" w:lineRule="auto"/>
              <w:ind w:firstLine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可视倒车雷达,七寸显示屏。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设备配置</w:t>
            </w:r>
          </w:p>
        </w:tc>
        <w:tc>
          <w:tcPr>
            <w:tcW w:w="960" w:type="dxa"/>
            <w:vAlign w:val="top"/>
          </w:tcPr>
          <w:p>
            <w:pPr>
              <w:spacing w:before="149" w:line="180" w:lineRule="auto"/>
              <w:ind w:firstLine="42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2070" w:type="dxa"/>
            <w:vAlign w:val="top"/>
          </w:tcPr>
          <w:p>
            <w:pPr>
              <w:spacing w:before="102" w:line="185" w:lineRule="auto"/>
              <w:ind w:firstLine="11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发电机组</w:t>
            </w:r>
          </w:p>
        </w:tc>
        <w:tc>
          <w:tcPr>
            <w:tcW w:w="4260" w:type="dxa"/>
            <w:vAlign w:val="top"/>
          </w:tcPr>
          <w:p>
            <w:pPr>
              <w:spacing w:before="135" w:line="185" w:lineRule="auto"/>
              <w:ind w:firstLine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康明斯</w:t>
            </w:r>
            <w:r>
              <w:rPr>
                <w:rFonts w:ascii="宋体" w:hAnsi="宋体" w:eastAsia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50KW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发电机组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before="73" w:line="180" w:lineRule="auto"/>
              <w:ind w:firstLine="41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2070" w:type="dxa"/>
            <w:vAlign w:val="top"/>
          </w:tcPr>
          <w:p>
            <w:pPr>
              <w:spacing w:line="308" w:lineRule="auto"/>
              <w:jc w:val="center"/>
              <w:rPr>
                <w:rFonts w:ascii="宋体"/>
                <w:sz w:val="21"/>
              </w:rPr>
            </w:pPr>
          </w:p>
          <w:p>
            <w:pPr>
              <w:spacing w:line="308" w:lineRule="auto"/>
              <w:jc w:val="center"/>
              <w:rPr>
                <w:rFonts w:ascii="宋体"/>
                <w:sz w:val="21"/>
              </w:rPr>
            </w:pPr>
          </w:p>
          <w:p>
            <w:pPr>
              <w:spacing w:line="309" w:lineRule="auto"/>
              <w:jc w:val="center"/>
              <w:rPr>
                <w:rFonts w:ascii="宋体"/>
                <w:sz w:val="21"/>
              </w:rPr>
            </w:pPr>
          </w:p>
          <w:p>
            <w:pPr>
              <w:spacing w:before="79" w:line="237" w:lineRule="auto"/>
              <w:ind w:left="110" w:right="177" w:hang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超轻型不锈钢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便携式潜水泵</w:t>
            </w:r>
          </w:p>
        </w:tc>
        <w:tc>
          <w:tcPr>
            <w:tcW w:w="4260" w:type="dxa"/>
            <w:vAlign w:val="top"/>
          </w:tcPr>
          <w:p>
            <w:pPr>
              <w:spacing w:before="137" w:line="314" w:lineRule="auto"/>
              <w:ind w:left="113" w:right="1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配</w:t>
            </w:r>
            <w:r>
              <w:rPr>
                <w:rFonts w:ascii="宋体" w:hAnsi="宋体" w:eastAsia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台便携式超轻型高速不锈钢潜水泵，</w:t>
            </w:r>
            <w:r>
              <w:rPr>
                <w:rFonts w:ascii="宋体" w:hAnsi="宋体" w:eastAsia="宋体" w:cs="宋体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总流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量为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1000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立方每小时，水泵流量可达</w:t>
            </w:r>
            <w:r>
              <w:rPr>
                <w:rFonts w:ascii="宋体" w:hAnsi="宋体" w:eastAsia="宋体" w:cs="宋体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500</w:t>
            </w: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方每小时，功率18.5KW,扬程为8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  <w:lang w:val="en-US" w:eastAsia="zh-CN"/>
              </w:rPr>
              <w:t>m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，重量为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32KG,单台水泵配直径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200MM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消防式水管两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根，每根长度为25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米。该泵为不锈钢泵，不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会生锈，大大延长了泵的使用寿命，此泵材质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轻盈，方便拿取。该泵启动为变频启动。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401" w:lineRule="auto"/>
              <w:rPr>
                <w:rFonts w:ascii="宋体"/>
                <w:sz w:val="21"/>
              </w:rPr>
            </w:pPr>
          </w:p>
          <w:p>
            <w:pPr>
              <w:spacing w:before="74" w:line="180" w:lineRule="auto"/>
              <w:ind w:firstLine="41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2070" w:type="dxa"/>
            <w:vAlign w:val="top"/>
          </w:tcPr>
          <w:p>
            <w:pPr>
              <w:spacing w:before="171" w:line="239" w:lineRule="auto"/>
              <w:ind w:left="110" w:right="177" w:hang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超轻型不锈钢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便携式潜水泵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启动变频器</w:t>
            </w:r>
          </w:p>
        </w:tc>
        <w:tc>
          <w:tcPr>
            <w:tcW w:w="4260" w:type="dxa"/>
            <w:vAlign w:val="top"/>
          </w:tcPr>
          <w:p>
            <w:pPr>
              <w:spacing w:before="135" w:line="285" w:lineRule="auto"/>
              <w:ind w:left="114" w:right="10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该变频器外观美观轻便，内置所有电器元件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均选用优质配套件，操作简单，泵的流量大小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可任意控制，变频器为可移动式。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line="292" w:lineRule="auto"/>
              <w:rPr>
                <w:rFonts w:ascii="宋体"/>
                <w:sz w:val="21"/>
              </w:rPr>
            </w:pPr>
          </w:p>
          <w:p>
            <w:pPr>
              <w:spacing w:before="73" w:line="180" w:lineRule="auto"/>
              <w:ind w:firstLine="41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2070" w:type="dxa"/>
            <w:vAlign w:val="top"/>
          </w:tcPr>
          <w:p>
            <w:pPr>
              <w:spacing w:line="436" w:lineRule="auto"/>
              <w:jc w:val="center"/>
              <w:rPr>
                <w:rFonts w:ascii="宋体"/>
                <w:sz w:val="21"/>
              </w:rPr>
            </w:pPr>
          </w:p>
          <w:p>
            <w:pPr>
              <w:spacing w:before="69" w:line="239" w:lineRule="auto"/>
              <w:ind w:left="128" w:right="1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超轻型不锈钢便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携式潜水泵浮圈</w:t>
            </w:r>
          </w:p>
        </w:tc>
        <w:tc>
          <w:tcPr>
            <w:tcW w:w="4260" w:type="dxa"/>
            <w:vAlign w:val="top"/>
          </w:tcPr>
          <w:p>
            <w:pPr>
              <w:spacing w:before="137" w:line="298" w:lineRule="auto"/>
              <w:ind w:left="113" w:right="108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聚胺脂高强度浮圈，浮圈一体成型,具卡口吊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环连接软性固定吊索，满足水泵浮力要求。泵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在深水作业时起到了很好的防护作业，</w:t>
            </w:r>
            <w:r>
              <w:rPr>
                <w:rFonts w:ascii="宋体" w:hAnsi="宋体" w:eastAsia="宋体" w:cs="宋体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浮圈承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受重量为</w:t>
            </w:r>
            <w:r>
              <w:rPr>
                <w:rFonts w:ascii="宋体" w:hAnsi="宋体" w:eastAsia="宋体" w:cs="宋体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60KG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before="134" w:line="180" w:lineRule="auto"/>
              <w:ind w:firstLine="41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2070" w:type="dxa"/>
            <w:vAlign w:val="top"/>
          </w:tcPr>
          <w:p>
            <w:pPr>
              <w:spacing w:before="102" w:line="186" w:lineRule="auto"/>
              <w:ind w:firstLine="44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其它标配</w:t>
            </w:r>
          </w:p>
        </w:tc>
        <w:tc>
          <w:tcPr>
            <w:tcW w:w="426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spacing w:line="420" w:lineRule="exact"/>
        <w:jc w:val="both"/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/>
          <w:b/>
          <w:bCs/>
          <w:sz w:val="24"/>
          <w:szCs w:val="24"/>
          <w:lang w:eastAsia="zh-CN"/>
        </w:rPr>
        <w:t>备注：以上所列参数仅供用户参考，本公司保留对车型产品改进的权利。</w:t>
      </w:r>
    </w:p>
    <w:p>
      <w:pPr>
        <w:sectPr>
          <w:headerReference r:id="rId4" w:type="default"/>
          <w:footerReference r:id="rId5" w:type="default"/>
          <w:pgSz w:w="11910" w:h="16840"/>
          <w:pgMar w:top="2428" w:right="1663" w:bottom="1149" w:left="1786" w:header="1420" w:footer="1023" w:gutter="0"/>
          <w:cols w:space="720" w:num="1"/>
        </w:sect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  <w:lang w:val="en-US" w:eastAsia="zh-CN" w:bidi="ar"/>
        </w:rPr>
        <w:t>五、</w:t>
      </w:r>
      <w:r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售后服务承诺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本公司以质量和高新技术应用作为公司发展前提，以超前的服务理念与服务模式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取信于客户。以人为本创一流企业；以专业精神满足客户所需；以求精理念塑造国际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品牌的宗旨，给我们的客户作如下郑重承诺：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客户说好的产品——才是真正可靠的产品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一、质量承诺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、公司所有系列的产品交付客户一年内实行“三包”服务。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、产品符合和超过国家和行业相关标准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二、服务承诺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、给客户提供贴心、增值的售前、售中及售后服务是公司的追求。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、产品在保修期内实行“三包”服务；设备出现故障后，在接到通知后 </w:t>
      </w: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 xml:space="preserve">1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小时内提供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解决方案，并安排人员及时赶往现场</w:t>
      </w: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,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三包期内的所有服务、配件等全部免费。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、产品保修期满后，公司派专业的服务工程师前去维修，维修时如更换零部件只收取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零部件成本费，免收服务费；非人为因素上装结构部分终身质保。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、车辆售出至客户处免费进行结构原理、液压原理、控制原理及整车安全操作培训；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、车辆售出一季度内，服务工程师主动上门服务；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、服务工程师每月保持与客户的电话回访服务，及时解决客户使用中的任何问题。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、车辆售出半年，服务工程师再次上门服务；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、车辆售出一年，服务工程师对整车进行免费检查及保养；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、三包期外，服务工程师不定期进行电话跟踪服务及主动上门服务；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、当客户购买的其它企业的高空作业车产品出现故障时，我公司免费提供故障诊断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或现场指导客户进行车辆维修。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12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253" w:firstLineChars="900"/>
      <w:rPr>
        <w:sz w:val="36"/>
        <w:szCs w:val="36"/>
      </w:rPr>
    </w:pPr>
    <w:r>
      <w:rPr>
        <w:b/>
        <w:bCs/>
        <w:color w:val="FF0000"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1224280</wp:posOffset>
          </wp:positionH>
          <wp:positionV relativeFrom="page">
            <wp:posOffset>521335</wp:posOffset>
          </wp:positionV>
          <wp:extent cx="941705" cy="401320"/>
          <wp:effectExtent l="0" t="0" r="10795" b="1778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70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color w:val="FF0000"/>
        <w:sz w:val="36"/>
        <w:szCs w:val="36"/>
        <w:lang w:eastAsia="zh-CN"/>
      </w:rPr>
      <w:t>湖北宏宇专汽应急救险车系列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96FEE"/>
    <w:multiLevelType w:val="singleLevel"/>
    <w:tmpl w:val="DE996F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3005"/>
    <w:rsid w:val="0194674A"/>
    <w:rsid w:val="022B0E5C"/>
    <w:rsid w:val="04441D61"/>
    <w:rsid w:val="07632E46"/>
    <w:rsid w:val="076A7DA6"/>
    <w:rsid w:val="078D1B6A"/>
    <w:rsid w:val="08184890"/>
    <w:rsid w:val="08AA481F"/>
    <w:rsid w:val="09371E95"/>
    <w:rsid w:val="0B470389"/>
    <w:rsid w:val="0B73117E"/>
    <w:rsid w:val="0B9813FC"/>
    <w:rsid w:val="0D2A3ABE"/>
    <w:rsid w:val="0DFE11D3"/>
    <w:rsid w:val="0F5F0397"/>
    <w:rsid w:val="1292638E"/>
    <w:rsid w:val="14EF3F6B"/>
    <w:rsid w:val="16304FF1"/>
    <w:rsid w:val="180F4ED9"/>
    <w:rsid w:val="1B157B5C"/>
    <w:rsid w:val="1B2E0C1E"/>
    <w:rsid w:val="1D181BC9"/>
    <w:rsid w:val="23E478A8"/>
    <w:rsid w:val="24ED38F7"/>
    <w:rsid w:val="270F7B55"/>
    <w:rsid w:val="28814A83"/>
    <w:rsid w:val="2C1D2233"/>
    <w:rsid w:val="2DCC1D64"/>
    <w:rsid w:val="2F587052"/>
    <w:rsid w:val="33D550CD"/>
    <w:rsid w:val="37F012DD"/>
    <w:rsid w:val="39F91F13"/>
    <w:rsid w:val="3A820D08"/>
    <w:rsid w:val="3E2F5C55"/>
    <w:rsid w:val="3F285800"/>
    <w:rsid w:val="407303E6"/>
    <w:rsid w:val="42DD6902"/>
    <w:rsid w:val="440A4422"/>
    <w:rsid w:val="45CC5137"/>
    <w:rsid w:val="47660981"/>
    <w:rsid w:val="4CB46925"/>
    <w:rsid w:val="4DF41CAE"/>
    <w:rsid w:val="4E4F6905"/>
    <w:rsid w:val="4EB939E1"/>
    <w:rsid w:val="4FEA5A0B"/>
    <w:rsid w:val="502B6EFE"/>
    <w:rsid w:val="53FD32A8"/>
    <w:rsid w:val="558275C0"/>
    <w:rsid w:val="55F935FB"/>
    <w:rsid w:val="57521214"/>
    <w:rsid w:val="57911D3D"/>
    <w:rsid w:val="589F0489"/>
    <w:rsid w:val="592F3F03"/>
    <w:rsid w:val="5C974299"/>
    <w:rsid w:val="5D7874FB"/>
    <w:rsid w:val="5DB1138B"/>
    <w:rsid w:val="5E1B6804"/>
    <w:rsid w:val="5E8063ED"/>
    <w:rsid w:val="5E8669ED"/>
    <w:rsid w:val="6092522B"/>
    <w:rsid w:val="650C5E7C"/>
    <w:rsid w:val="65534AD5"/>
    <w:rsid w:val="65D11CFD"/>
    <w:rsid w:val="65F24DF4"/>
    <w:rsid w:val="66952ECC"/>
    <w:rsid w:val="6AA2425D"/>
    <w:rsid w:val="6C054650"/>
    <w:rsid w:val="6CFE17CB"/>
    <w:rsid w:val="6E6E32EC"/>
    <w:rsid w:val="6E7F06E9"/>
    <w:rsid w:val="70D913FC"/>
    <w:rsid w:val="71B20DD6"/>
    <w:rsid w:val="74463A57"/>
    <w:rsid w:val="768216BE"/>
    <w:rsid w:val="76C07AF1"/>
    <w:rsid w:val="7B4B0BEE"/>
    <w:rsid w:val="7CC8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ascii="Tahoma" w:hAnsi="Tahoma" w:eastAsia="Tahoma" w:cs="Tahoma"/>
      <w:color w:val="00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2021-11-30T06:22:00Z</dcterms:created>
  <dc:creator>Administrator</dc:creator>
  <cp:lastModifiedBy>杨洪强15308667978</cp:lastModifiedBy>
  <dcterms:modified xsi:type="dcterms:W3CDTF">2021-12-02T08:09:47Z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EAC94FA0A9AC41BB8CDCC9BA68ECC730</vt:lpwstr>
  </property>
</Properties>
</file>